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5F7B" w14:textId="77777777" w:rsidR="004700DA" w:rsidRDefault="00000000">
      <w:pPr>
        <w:pStyle w:val="DocumentTitle"/>
        <w:rPr>
          <w:color w:val="7F0313"/>
          <w:sz w:val="40"/>
          <w:szCs w:val="40"/>
          <w:u w:color="7F0313"/>
        </w:rPr>
      </w:pPr>
      <w:r>
        <w:rPr>
          <w:color w:val="7F0313"/>
          <w:u w:color="7F0313"/>
        </w:rPr>
        <w:t>Syllabus: stat 6201</w:t>
      </w:r>
      <w:r>
        <w:rPr>
          <w:color w:val="7F0313"/>
          <w:u w:color="7F0313"/>
        </w:rPr>
        <w:br/>
      </w:r>
      <w:r>
        <w:rPr>
          <w:color w:val="7F0313"/>
          <w:sz w:val="40"/>
          <w:szCs w:val="40"/>
          <w:u w:color="7F0313"/>
        </w:rPr>
        <w:t>Mathematical statistics</w:t>
      </w:r>
      <w:r>
        <w:rPr>
          <w:color w:val="7F0313"/>
          <w:sz w:val="40"/>
          <w:szCs w:val="40"/>
          <w:u w:color="7F0313"/>
        </w:rPr>
        <w:br/>
        <w:t>autumn 2025</w:t>
      </w:r>
    </w:p>
    <w:p w14:paraId="0B75D544" w14:textId="77777777" w:rsidR="004700DA" w:rsidRDefault="00000000">
      <w:pPr>
        <w:pStyle w:val="Heading"/>
      </w:pPr>
      <w:r>
        <w:t>Course overview</w:t>
      </w:r>
    </w:p>
    <w:p w14:paraId="4283548A" w14:textId="77777777" w:rsidR="004700DA" w:rsidRPr="00156A21" w:rsidRDefault="00000000">
      <w:pPr>
        <w:pStyle w:val="Heading2"/>
        <w:rPr>
          <w:sz w:val="40"/>
          <w:szCs w:val="40"/>
        </w:rPr>
      </w:pPr>
      <w:r w:rsidRPr="00156A21">
        <w:rPr>
          <w:sz w:val="40"/>
          <w:szCs w:val="40"/>
        </w:rPr>
        <w:t>Instructor</w:t>
      </w:r>
    </w:p>
    <w:p w14:paraId="434F0CDF" w14:textId="5C713376" w:rsidR="004700DA" w:rsidRPr="009A6B83" w:rsidRDefault="00000000" w:rsidP="009A6B83">
      <w:pPr>
        <w:pStyle w:val="Body"/>
        <w:ind w:left="1710" w:hanging="1710"/>
        <w:jc w:val="both"/>
        <w:rPr>
          <w:sz w:val="32"/>
          <w:szCs w:val="32"/>
        </w:rPr>
      </w:pPr>
      <w:r w:rsidRPr="009A6B83">
        <w:rPr>
          <w:sz w:val="32"/>
          <w:szCs w:val="32"/>
          <w:lang w:val="es-ES_tradnl"/>
        </w:rPr>
        <w:t xml:space="preserve">Instructor: </w:t>
      </w:r>
      <w:r w:rsidRPr="009A6B83">
        <w:rPr>
          <w:sz w:val="32"/>
          <w:szCs w:val="32"/>
          <w:lang w:val="es-ES_tradnl"/>
        </w:rPr>
        <w:tab/>
      </w:r>
      <w:r w:rsidR="009A6B83">
        <w:rPr>
          <w:sz w:val="32"/>
          <w:szCs w:val="32"/>
          <w:lang w:val="es-ES_tradnl"/>
        </w:rPr>
        <w:t xml:space="preserve">     </w:t>
      </w:r>
      <w:r w:rsidRPr="009A6B83">
        <w:rPr>
          <w:sz w:val="32"/>
          <w:szCs w:val="32"/>
        </w:rPr>
        <w:t>Sagnik Nandy</w:t>
      </w:r>
    </w:p>
    <w:p w14:paraId="4AAD9F94" w14:textId="22C5C6B2" w:rsidR="004700DA" w:rsidRDefault="00000000" w:rsidP="009A6B83">
      <w:pPr>
        <w:pStyle w:val="Body"/>
        <w:ind w:left="1710" w:hanging="1710"/>
        <w:jc w:val="both"/>
        <w:rPr>
          <w:sz w:val="32"/>
          <w:szCs w:val="32"/>
        </w:rPr>
      </w:pPr>
      <w:r w:rsidRPr="009A6B83">
        <w:rPr>
          <w:sz w:val="32"/>
          <w:szCs w:val="32"/>
        </w:rPr>
        <w:t>Email address:</w:t>
      </w:r>
      <w:r w:rsidRPr="009A6B83">
        <w:rPr>
          <w:sz w:val="32"/>
          <w:szCs w:val="32"/>
        </w:rPr>
        <w:tab/>
      </w:r>
      <w:hyperlink r:id="rId7" w:history="1">
        <w:r w:rsidR="001D3109" w:rsidRPr="00082F0E">
          <w:rPr>
            <w:rStyle w:val="Hyperlink"/>
            <w:sz w:val="32"/>
            <w:szCs w:val="32"/>
          </w:rPr>
          <w:t>nandy.15@osu.edu</w:t>
        </w:r>
      </w:hyperlink>
    </w:p>
    <w:p w14:paraId="79FCBDC6" w14:textId="3ADBD761" w:rsidR="001D3109" w:rsidRDefault="001D3109" w:rsidP="009A6B83">
      <w:pPr>
        <w:pStyle w:val="Body"/>
        <w:ind w:left="1710" w:hanging="1710"/>
        <w:jc w:val="both"/>
        <w:rPr>
          <w:sz w:val="32"/>
          <w:szCs w:val="32"/>
        </w:rPr>
      </w:pPr>
      <w:r>
        <w:rPr>
          <w:sz w:val="32"/>
          <w:szCs w:val="32"/>
        </w:rPr>
        <w:t>GTA:                  Arkajyoti Bhattacharjee (AJ)</w:t>
      </w:r>
    </w:p>
    <w:p w14:paraId="75243755" w14:textId="1D87D972" w:rsidR="001D3109" w:rsidRPr="009A6B83" w:rsidRDefault="001D3109" w:rsidP="009A6B83">
      <w:pPr>
        <w:pStyle w:val="Body"/>
        <w:ind w:left="1710" w:hanging="1710"/>
        <w:jc w:val="both"/>
        <w:rPr>
          <w:sz w:val="32"/>
          <w:szCs w:val="32"/>
        </w:rPr>
      </w:pPr>
      <w:r>
        <w:rPr>
          <w:sz w:val="32"/>
          <w:szCs w:val="32"/>
        </w:rPr>
        <w:t xml:space="preserve">GTA email:        </w:t>
      </w:r>
      <w:r>
        <w:rPr>
          <w:sz w:val="32"/>
          <w:szCs w:val="32"/>
        </w:rPr>
        <w:t>Bhattacharjee.57@osu.edu</w:t>
      </w:r>
    </w:p>
    <w:p w14:paraId="01CFBF12" w14:textId="77777777" w:rsidR="004700DA" w:rsidRPr="009A6B83" w:rsidRDefault="00000000" w:rsidP="009A6B83">
      <w:pPr>
        <w:pStyle w:val="Body"/>
        <w:ind w:left="1710" w:hanging="1710"/>
        <w:jc w:val="both"/>
        <w:rPr>
          <w:sz w:val="32"/>
          <w:szCs w:val="32"/>
        </w:rPr>
      </w:pPr>
      <w:proofErr w:type="spellStart"/>
      <w:r w:rsidRPr="009A6B83">
        <w:rPr>
          <w:sz w:val="32"/>
          <w:szCs w:val="32"/>
          <w:lang w:val="es-ES_tradnl"/>
        </w:rPr>
        <w:t>Class</w:t>
      </w:r>
      <w:proofErr w:type="spellEnd"/>
      <w:r w:rsidRPr="009A6B83">
        <w:rPr>
          <w:sz w:val="32"/>
          <w:szCs w:val="32"/>
          <w:lang w:val="es-ES_tradnl"/>
        </w:rPr>
        <w:t xml:space="preserve"> </w:t>
      </w:r>
      <w:proofErr w:type="spellStart"/>
      <w:r w:rsidRPr="009A6B83">
        <w:rPr>
          <w:sz w:val="32"/>
          <w:szCs w:val="32"/>
          <w:lang w:val="es-ES_tradnl"/>
        </w:rPr>
        <w:t>Website</w:t>
      </w:r>
      <w:proofErr w:type="spellEnd"/>
      <w:r w:rsidRPr="009A6B83">
        <w:rPr>
          <w:sz w:val="32"/>
          <w:szCs w:val="32"/>
          <w:lang w:val="es-ES_tradnl"/>
        </w:rPr>
        <w:t>:</w:t>
      </w:r>
      <w:r w:rsidRPr="009A6B83">
        <w:rPr>
          <w:sz w:val="32"/>
          <w:szCs w:val="32"/>
          <w:lang w:val="es-ES_tradnl"/>
        </w:rPr>
        <w:tab/>
        <w:t>Carmen</w:t>
      </w:r>
    </w:p>
    <w:p w14:paraId="19E1C1E6" w14:textId="19FFCDCF" w:rsidR="004700DA" w:rsidRPr="009A6B83" w:rsidRDefault="00000000" w:rsidP="009A6B83">
      <w:pPr>
        <w:pStyle w:val="Body"/>
        <w:ind w:left="1710" w:hanging="1710"/>
        <w:jc w:val="both"/>
        <w:rPr>
          <w:sz w:val="32"/>
          <w:szCs w:val="32"/>
        </w:rPr>
      </w:pPr>
      <w:proofErr w:type="gramStart"/>
      <w:r w:rsidRPr="009A6B83">
        <w:rPr>
          <w:sz w:val="32"/>
          <w:szCs w:val="32"/>
          <w:lang w:val="fr-FR"/>
        </w:rPr>
        <w:t>Lectures:</w:t>
      </w:r>
      <w:proofErr w:type="gramEnd"/>
      <w:r w:rsidRPr="009A6B83">
        <w:rPr>
          <w:sz w:val="32"/>
          <w:szCs w:val="32"/>
          <w:lang w:val="fr-FR"/>
        </w:rPr>
        <w:tab/>
      </w:r>
      <w:r w:rsidR="009A6B83">
        <w:rPr>
          <w:sz w:val="32"/>
          <w:szCs w:val="32"/>
          <w:lang w:val="fr-FR"/>
        </w:rPr>
        <w:t xml:space="preserve">      </w:t>
      </w:r>
      <w:r w:rsidRPr="009A6B83">
        <w:rPr>
          <w:sz w:val="32"/>
          <w:szCs w:val="32"/>
          <w:lang w:val="fr-FR"/>
        </w:rPr>
        <w:t xml:space="preserve">MWF at </w:t>
      </w:r>
      <w:proofErr w:type="gramStart"/>
      <w:r w:rsidRPr="009A6B83">
        <w:rPr>
          <w:sz w:val="32"/>
          <w:szCs w:val="32"/>
          <w:lang w:val="fr-FR"/>
        </w:rPr>
        <w:t>8:</w:t>
      </w:r>
      <w:proofErr w:type="gramEnd"/>
      <w:r w:rsidRPr="009A6B83">
        <w:rPr>
          <w:sz w:val="32"/>
          <w:szCs w:val="32"/>
          <w:lang w:val="fr-FR"/>
        </w:rPr>
        <w:t>00-</w:t>
      </w:r>
      <w:proofErr w:type="gramStart"/>
      <w:r w:rsidRPr="009A6B83">
        <w:rPr>
          <w:sz w:val="32"/>
          <w:szCs w:val="32"/>
          <w:lang w:val="fr-FR"/>
        </w:rPr>
        <w:t>9:</w:t>
      </w:r>
      <w:proofErr w:type="gramEnd"/>
      <w:r w:rsidRPr="009A6B83">
        <w:rPr>
          <w:sz w:val="32"/>
          <w:szCs w:val="32"/>
          <w:lang w:val="fr-FR"/>
        </w:rPr>
        <w:t>15am in</w:t>
      </w:r>
      <w:r w:rsidRPr="009A6B83">
        <w:rPr>
          <w:sz w:val="32"/>
          <w:szCs w:val="32"/>
        </w:rPr>
        <w:t xml:space="preserve"> </w:t>
      </w:r>
      <w:proofErr w:type="spellStart"/>
      <w:r w:rsidRPr="009A6B83">
        <w:rPr>
          <w:sz w:val="32"/>
          <w:szCs w:val="32"/>
        </w:rPr>
        <w:t>Cockins</w:t>
      </w:r>
      <w:proofErr w:type="spellEnd"/>
      <w:r w:rsidRPr="009A6B83">
        <w:rPr>
          <w:sz w:val="32"/>
          <w:szCs w:val="32"/>
        </w:rPr>
        <w:t xml:space="preserve"> Hall 232</w:t>
      </w:r>
    </w:p>
    <w:p w14:paraId="04D85C6B" w14:textId="36C2528E" w:rsidR="004700DA" w:rsidRDefault="00000000" w:rsidP="009A6B83">
      <w:pPr>
        <w:pStyle w:val="Body"/>
        <w:ind w:left="1710" w:hanging="1710"/>
        <w:jc w:val="both"/>
        <w:rPr>
          <w:sz w:val="32"/>
          <w:szCs w:val="32"/>
        </w:rPr>
      </w:pPr>
      <w:r w:rsidRPr="009A6B83">
        <w:rPr>
          <w:sz w:val="32"/>
          <w:szCs w:val="32"/>
        </w:rPr>
        <w:t>Office hours:</w:t>
      </w:r>
      <w:r w:rsidRPr="009A6B83">
        <w:rPr>
          <w:sz w:val="32"/>
          <w:szCs w:val="32"/>
        </w:rPr>
        <w:tab/>
      </w:r>
      <w:r w:rsidR="009A6B83">
        <w:rPr>
          <w:sz w:val="32"/>
          <w:szCs w:val="32"/>
        </w:rPr>
        <w:t xml:space="preserve">      </w:t>
      </w:r>
      <w:r w:rsidRPr="009A6B83">
        <w:rPr>
          <w:sz w:val="32"/>
          <w:szCs w:val="32"/>
        </w:rPr>
        <w:t>M 5</w:t>
      </w:r>
      <w:r w:rsidRPr="009A6B83">
        <w:rPr>
          <w:sz w:val="32"/>
          <w:szCs w:val="32"/>
          <w:lang w:val="ru-RU"/>
        </w:rPr>
        <w:t>:15-</w:t>
      </w:r>
      <w:r w:rsidRPr="009A6B83">
        <w:rPr>
          <w:sz w:val="32"/>
          <w:szCs w:val="32"/>
        </w:rPr>
        <w:t>6</w:t>
      </w:r>
      <w:r w:rsidRPr="009A6B83">
        <w:rPr>
          <w:sz w:val="32"/>
          <w:szCs w:val="32"/>
          <w:lang w:val="ru-RU"/>
        </w:rPr>
        <w:t>:15</w:t>
      </w:r>
      <w:r w:rsidRPr="009A6B83">
        <w:rPr>
          <w:sz w:val="32"/>
          <w:szCs w:val="32"/>
        </w:rPr>
        <w:t xml:space="preserve">pm, W </w:t>
      </w:r>
      <w:r w:rsidR="001D3109">
        <w:rPr>
          <w:sz w:val="32"/>
          <w:szCs w:val="32"/>
        </w:rPr>
        <w:t>9</w:t>
      </w:r>
      <w:r w:rsidRPr="009A6B83">
        <w:rPr>
          <w:sz w:val="32"/>
          <w:szCs w:val="32"/>
          <w:lang w:val="ru-RU"/>
        </w:rPr>
        <w:t>:</w:t>
      </w:r>
      <w:r w:rsidR="001D3109">
        <w:rPr>
          <w:sz w:val="32"/>
          <w:szCs w:val="32"/>
        </w:rPr>
        <w:t>30</w:t>
      </w:r>
      <w:r w:rsidRPr="009A6B83">
        <w:rPr>
          <w:sz w:val="32"/>
          <w:szCs w:val="32"/>
          <w:lang w:val="ru-RU"/>
        </w:rPr>
        <w:t>-</w:t>
      </w:r>
      <w:r w:rsidR="001D3109">
        <w:rPr>
          <w:sz w:val="32"/>
          <w:szCs w:val="32"/>
        </w:rPr>
        <w:t>10</w:t>
      </w:r>
      <w:r w:rsidRPr="009A6B83">
        <w:rPr>
          <w:sz w:val="32"/>
          <w:szCs w:val="32"/>
          <w:lang w:val="ru-RU"/>
        </w:rPr>
        <w:t>:</w:t>
      </w:r>
      <w:r w:rsidR="001D3109">
        <w:rPr>
          <w:sz w:val="32"/>
          <w:szCs w:val="32"/>
        </w:rPr>
        <w:t>30a</w:t>
      </w:r>
      <w:r w:rsidRPr="009A6B83">
        <w:rPr>
          <w:sz w:val="32"/>
          <w:szCs w:val="32"/>
          <w:lang w:val="ru-RU"/>
        </w:rPr>
        <w:t>m</w:t>
      </w:r>
      <w:r w:rsidRPr="009A6B83">
        <w:rPr>
          <w:sz w:val="32"/>
          <w:szCs w:val="32"/>
        </w:rPr>
        <w:t xml:space="preserve">, and F </w:t>
      </w:r>
      <w:r w:rsidRPr="009A6B83">
        <w:rPr>
          <w:sz w:val="32"/>
          <w:szCs w:val="32"/>
          <w:lang w:val="ru-RU"/>
        </w:rPr>
        <w:t>9:</w:t>
      </w:r>
      <w:r w:rsidR="009A6B83">
        <w:rPr>
          <w:sz w:val="32"/>
          <w:szCs w:val="32"/>
        </w:rPr>
        <w:t>30</w:t>
      </w:r>
      <w:r w:rsidRPr="009A6B83">
        <w:rPr>
          <w:sz w:val="32"/>
          <w:szCs w:val="32"/>
          <w:lang w:val="ru-RU"/>
        </w:rPr>
        <w:t>-10:</w:t>
      </w:r>
      <w:r w:rsidR="009A6B83">
        <w:rPr>
          <w:sz w:val="32"/>
          <w:szCs w:val="32"/>
        </w:rPr>
        <w:t>30</w:t>
      </w:r>
      <w:proofErr w:type="spellStart"/>
      <w:r w:rsidRPr="009A6B83">
        <w:rPr>
          <w:sz w:val="32"/>
          <w:szCs w:val="32"/>
          <w:lang w:val="ru-RU"/>
        </w:rPr>
        <w:t>am</w:t>
      </w:r>
      <w:proofErr w:type="spellEnd"/>
      <w:r w:rsidRPr="009A6B83">
        <w:rPr>
          <w:sz w:val="32"/>
          <w:szCs w:val="32"/>
        </w:rPr>
        <w:t xml:space="preserve">. </w:t>
      </w:r>
      <w:r w:rsidR="009A6B83">
        <w:rPr>
          <w:sz w:val="32"/>
          <w:szCs w:val="32"/>
        </w:rPr>
        <w:t xml:space="preserve">   </w:t>
      </w:r>
      <w:r w:rsidRPr="009A6B83">
        <w:rPr>
          <w:sz w:val="32"/>
          <w:szCs w:val="32"/>
        </w:rPr>
        <w:t xml:space="preserve">Occasionally office hours may be held by appointment (please schedule appointments at least 24 hours in advance). </w:t>
      </w:r>
    </w:p>
    <w:p w14:paraId="29605376" w14:textId="002727F7" w:rsidR="001D3109" w:rsidRPr="009A6B83" w:rsidRDefault="001D3109" w:rsidP="009A6B83">
      <w:pPr>
        <w:pStyle w:val="Body"/>
        <w:ind w:left="1710" w:hanging="1710"/>
        <w:jc w:val="both"/>
        <w:rPr>
          <w:sz w:val="32"/>
          <w:szCs w:val="32"/>
        </w:rPr>
      </w:pPr>
      <w:r>
        <w:rPr>
          <w:sz w:val="32"/>
          <w:szCs w:val="32"/>
        </w:rPr>
        <w:t xml:space="preserve">                      For </w:t>
      </w:r>
      <w:proofErr w:type="gramStart"/>
      <w:r>
        <w:rPr>
          <w:sz w:val="32"/>
          <w:szCs w:val="32"/>
        </w:rPr>
        <w:t>now</w:t>
      </w:r>
      <w:proofErr w:type="gramEnd"/>
      <w:r>
        <w:rPr>
          <w:sz w:val="32"/>
          <w:szCs w:val="32"/>
        </w:rPr>
        <w:t xml:space="preserve"> my office at 428C. We shall be figuring out a room soon.</w:t>
      </w:r>
    </w:p>
    <w:p w14:paraId="7B5E2067" w14:textId="77777777" w:rsidR="004700DA" w:rsidRPr="00156A21" w:rsidRDefault="00000000">
      <w:pPr>
        <w:pStyle w:val="Heading2"/>
        <w:rPr>
          <w:rFonts w:ascii="Times New Roman" w:eastAsia="Times New Roman" w:hAnsi="Times New Roman" w:cs="Times New Roman"/>
          <w:b w:val="0"/>
          <w:bCs w:val="0"/>
          <w:color w:val="000000"/>
          <w:sz w:val="40"/>
          <w:szCs w:val="40"/>
          <w:u w:color="000000"/>
        </w:rPr>
      </w:pPr>
      <w:r w:rsidRPr="00156A21">
        <w:rPr>
          <w:sz w:val="40"/>
          <w:szCs w:val="40"/>
          <w:lang w:val="fr-FR"/>
        </w:rPr>
        <w:t>Course description</w:t>
      </w:r>
    </w:p>
    <w:p w14:paraId="444EF751" w14:textId="72193A81" w:rsidR="004700DA" w:rsidRPr="009A6B83" w:rsidRDefault="00000000" w:rsidP="009A6B83">
      <w:pPr>
        <w:pStyle w:val="Body"/>
        <w:jc w:val="both"/>
        <w:rPr>
          <w:sz w:val="32"/>
          <w:szCs w:val="32"/>
        </w:rPr>
      </w:pPr>
      <w:r w:rsidRPr="009A6B83">
        <w:rPr>
          <w:sz w:val="32"/>
          <w:szCs w:val="32"/>
        </w:rPr>
        <w:t>STAT 6201 offers an introduction to some of the core concepts from probability theory and</w:t>
      </w:r>
      <w:r w:rsidR="009A6B83">
        <w:rPr>
          <w:sz w:val="32"/>
          <w:szCs w:val="32"/>
        </w:rPr>
        <w:t xml:space="preserve"> </w:t>
      </w:r>
      <w:r w:rsidRPr="009A6B83">
        <w:rPr>
          <w:sz w:val="32"/>
          <w:szCs w:val="32"/>
        </w:rPr>
        <w:t>statistical inference. Topics covered include probability, random variables, expectation, moment</w:t>
      </w:r>
      <w:r w:rsidR="009A6B83">
        <w:rPr>
          <w:sz w:val="32"/>
          <w:szCs w:val="32"/>
        </w:rPr>
        <w:t xml:space="preserve"> </w:t>
      </w:r>
      <w:r w:rsidRPr="009A6B83">
        <w:rPr>
          <w:sz w:val="32"/>
          <w:szCs w:val="32"/>
        </w:rPr>
        <w:t>generating functions, discrete and continuous distributions, limit theorems, maximum likelihood</w:t>
      </w:r>
      <w:r w:rsidR="009A6B83">
        <w:rPr>
          <w:sz w:val="32"/>
          <w:szCs w:val="32"/>
        </w:rPr>
        <w:t xml:space="preserve"> </w:t>
      </w:r>
      <w:r w:rsidRPr="009A6B83">
        <w:rPr>
          <w:sz w:val="32"/>
          <w:szCs w:val="32"/>
        </w:rPr>
        <w:t>and Bayesian estimation, confidence intervals, hypothesis tests, Neyman-Pearson lemma, t and F</w:t>
      </w:r>
      <w:r w:rsidR="009A6B83">
        <w:rPr>
          <w:sz w:val="32"/>
          <w:szCs w:val="32"/>
        </w:rPr>
        <w:t xml:space="preserve"> </w:t>
      </w:r>
      <w:r w:rsidRPr="009A6B83">
        <w:rPr>
          <w:sz w:val="32"/>
          <w:szCs w:val="32"/>
        </w:rPr>
        <w:t>tests.</w:t>
      </w:r>
    </w:p>
    <w:p w14:paraId="2472B891" w14:textId="77777777" w:rsidR="004700DA" w:rsidRPr="00156A21" w:rsidRDefault="00000000">
      <w:pPr>
        <w:pStyle w:val="Heading2"/>
        <w:rPr>
          <w:sz w:val="40"/>
          <w:szCs w:val="40"/>
        </w:rPr>
      </w:pPr>
      <w:r w:rsidRPr="00156A21">
        <w:rPr>
          <w:sz w:val="40"/>
          <w:szCs w:val="40"/>
          <w:lang w:val="en-US"/>
        </w:rPr>
        <w:lastRenderedPageBreak/>
        <w:t>Course learning outcomes</w:t>
      </w:r>
    </w:p>
    <w:p w14:paraId="601F59DB" w14:textId="77777777" w:rsidR="004700DA" w:rsidRPr="009A6B83" w:rsidRDefault="00000000">
      <w:pPr>
        <w:pStyle w:val="Body"/>
        <w:rPr>
          <w:sz w:val="32"/>
          <w:szCs w:val="32"/>
        </w:rPr>
      </w:pPr>
      <w:r w:rsidRPr="009A6B83">
        <w:rPr>
          <w:sz w:val="32"/>
          <w:szCs w:val="32"/>
        </w:rPr>
        <w:t>By the end of this course, students should successfully be able to:</w:t>
      </w:r>
    </w:p>
    <w:p w14:paraId="2DC715D4" w14:textId="77777777" w:rsidR="004700DA" w:rsidRPr="009A6B83" w:rsidRDefault="00000000">
      <w:pPr>
        <w:pStyle w:val="ListParagraph"/>
        <w:numPr>
          <w:ilvl w:val="0"/>
          <w:numId w:val="2"/>
        </w:numPr>
        <w:rPr>
          <w:rFonts w:ascii="Times New Roman" w:hAnsi="Times New Roman"/>
          <w:sz w:val="32"/>
          <w:szCs w:val="32"/>
        </w:rPr>
      </w:pPr>
      <w:r w:rsidRPr="009A6B83">
        <w:rPr>
          <w:rFonts w:ascii="Times New Roman" w:hAnsi="Times New Roman"/>
          <w:sz w:val="32"/>
          <w:szCs w:val="32"/>
        </w:rPr>
        <w:t>Understand the basic concepts in probability and statistics.</w:t>
      </w:r>
    </w:p>
    <w:p w14:paraId="499D35BD" w14:textId="77777777" w:rsidR="004700DA" w:rsidRPr="009A6B83" w:rsidRDefault="00000000">
      <w:pPr>
        <w:pStyle w:val="ListParagraph"/>
        <w:numPr>
          <w:ilvl w:val="0"/>
          <w:numId w:val="2"/>
        </w:numPr>
        <w:rPr>
          <w:rFonts w:ascii="Times New Roman" w:hAnsi="Times New Roman"/>
          <w:sz w:val="32"/>
          <w:szCs w:val="32"/>
        </w:rPr>
      </w:pPr>
      <w:r w:rsidRPr="009A6B83">
        <w:rPr>
          <w:rFonts w:ascii="Times New Roman" w:hAnsi="Times New Roman"/>
          <w:sz w:val="32"/>
          <w:szCs w:val="32"/>
        </w:rPr>
        <w:t>Compute probabilities and moments for discrete and continuous distributions.</w:t>
      </w:r>
    </w:p>
    <w:p w14:paraId="2F2377B1" w14:textId="77777777" w:rsidR="004700DA" w:rsidRPr="009A6B83" w:rsidRDefault="00000000">
      <w:pPr>
        <w:pStyle w:val="ListParagraph"/>
        <w:numPr>
          <w:ilvl w:val="0"/>
          <w:numId w:val="2"/>
        </w:numPr>
        <w:rPr>
          <w:rFonts w:ascii="Times New Roman" w:hAnsi="Times New Roman"/>
          <w:sz w:val="32"/>
          <w:szCs w:val="32"/>
        </w:rPr>
      </w:pPr>
      <w:r w:rsidRPr="009A6B83">
        <w:rPr>
          <w:rFonts w:ascii="Times New Roman" w:hAnsi="Times New Roman"/>
          <w:sz w:val="32"/>
          <w:szCs w:val="32"/>
        </w:rPr>
        <w:t>Comprehend the probabilistic methods needed to analyze and critically evaluate statistical models and arguments.</w:t>
      </w:r>
    </w:p>
    <w:p w14:paraId="7EB38794" w14:textId="77777777" w:rsidR="004700DA" w:rsidRPr="009A6B83" w:rsidRDefault="00000000">
      <w:pPr>
        <w:pStyle w:val="ListParagraph"/>
        <w:numPr>
          <w:ilvl w:val="0"/>
          <w:numId w:val="2"/>
        </w:numPr>
        <w:rPr>
          <w:rFonts w:ascii="Times New Roman" w:hAnsi="Times New Roman"/>
          <w:sz w:val="32"/>
          <w:szCs w:val="32"/>
        </w:rPr>
      </w:pPr>
      <w:r w:rsidRPr="009A6B83">
        <w:rPr>
          <w:rFonts w:ascii="Times New Roman" w:hAnsi="Times New Roman"/>
          <w:sz w:val="32"/>
          <w:szCs w:val="32"/>
        </w:rPr>
        <w:t>Recognize the importance of statistical ideas.</w:t>
      </w:r>
    </w:p>
    <w:p w14:paraId="48654781" w14:textId="77777777" w:rsidR="004700DA" w:rsidRPr="00156A21" w:rsidRDefault="00000000">
      <w:pPr>
        <w:pStyle w:val="Heading2"/>
        <w:rPr>
          <w:sz w:val="40"/>
          <w:szCs w:val="40"/>
        </w:rPr>
      </w:pPr>
      <w:r w:rsidRPr="00156A21">
        <w:rPr>
          <w:sz w:val="40"/>
          <w:szCs w:val="40"/>
          <w:lang w:val="en-US"/>
        </w:rPr>
        <w:t>Course materials</w:t>
      </w:r>
    </w:p>
    <w:p w14:paraId="7074FAC0" w14:textId="77777777" w:rsidR="004700DA" w:rsidRPr="009A6B83" w:rsidRDefault="00000000">
      <w:pPr>
        <w:pStyle w:val="Heading3"/>
        <w:rPr>
          <w:sz w:val="32"/>
          <w:szCs w:val="32"/>
        </w:rPr>
      </w:pPr>
      <w:r w:rsidRPr="009A6B83">
        <w:rPr>
          <w:sz w:val="32"/>
          <w:szCs w:val="32"/>
        </w:rPr>
        <w:t>Required textbook:</w:t>
      </w:r>
    </w:p>
    <w:p w14:paraId="52C47E40" w14:textId="77777777" w:rsidR="004700DA" w:rsidRPr="009A6B83" w:rsidRDefault="00000000">
      <w:pPr>
        <w:pStyle w:val="Body"/>
        <w:rPr>
          <w:sz w:val="32"/>
          <w:szCs w:val="32"/>
        </w:rPr>
      </w:pPr>
      <w:r w:rsidRPr="009A6B83">
        <w:rPr>
          <w:i/>
          <w:iCs/>
          <w:sz w:val="32"/>
          <w:szCs w:val="32"/>
        </w:rPr>
        <w:t>Probability and Statistics</w:t>
      </w:r>
      <w:r w:rsidRPr="009A6B83">
        <w:rPr>
          <w:sz w:val="32"/>
          <w:szCs w:val="32"/>
        </w:rPr>
        <w:t xml:space="preserve">, Fourth Edition, by Morris H. DeGroot and Mark J. </w:t>
      </w:r>
      <w:proofErr w:type="spellStart"/>
      <w:r w:rsidRPr="009A6B83">
        <w:rPr>
          <w:sz w:val="32"/>
          <w:szCs w:val="32"/>
        </w:rPr>
        <w:t>Schervish</w:t>
      </w:r>
      <w:proofErr w:type="spellEnd"/>
      <w:r w:rsidRPr="009A6B83">
        <w:rPr>
          <w:sz w:val="32"/>
          <w:szCs w:val="32"/>
        </w:rPr>
        <w:t>, Pearson Education, 2012. ISBN: 978-0321500465</w:t>
      </w:r>
    </w:p>
    <w:p w14:paraId="572C49AC" w14:textId="77777777" w:rsidR="004700DA" w:rsidRPr="00156A21" w:rsidRDefault="00000000">
      <w:pPr>
        <w:pStyle w:val="Heading2"/>
        <w:rPr>
          <w:sz w:val="40"/>
          <w:szCs w:val="40"/>
        </w:rPr>
      </w:pPr>
      <w:r w:rsidRPr="00156A21">
        <w:rPr>
          <w:sz w:val="40"/>
          <w:szCs w:val="40"/>
          <w:lang w:val="en-US"/>
        </w:rPr>
        <w:t>Course delivery</w:t>
      </w:r>
    </w:p>
    <w:p w14:paraId="59131EF4" w14:textId="1F4C14D1" w:rsidR="004700DA" w:rsidRPr="009A6B83" w:rsidRDefault="00000000">
      <w:pPr>
        <w:pStyle w:val="Body"/>
        <w:rPr>
          <w:sz w:val="32"/>
          <w:szCs w:val="32"/>
        </w:rPr>
      </w:pPr>
      <w:r w:rsidRPr="009A6B83">
        <w:rPr>
          <w:sz w:val="32"/>
          <w:szCs w:val="32"/>
        </w:rPr>
        <w:t xml:space="preserve">Lectures will be delivered live </w:t>
      </w:r>
      <w:r w:rsidRPr="00B63CAB">
        <w:rPr>
          <w:b/>
          <w:bCs/>
          <w:sz w:val="32"/>
          <w:szCs w:val="32"/>
        </w:rPr>
        <w:t>in person</w:t>
      </w:r>
      <w:r w:rsidRPr="009A6B83">
        <w:rPr>
          <w:sz w:val="32"/>
          <w:szCs w:val="32"/>
        </w:rPr>
        <w:t xml:space="preserve">. Office hours are </w:t>
      </w:r>
      <w:r w:rsidRPr="00B63CAB">
        <w:rPr>
          <w:b/>
          <w:bCs/>
          <w:sz w:val="32"/>
          <w:szCs w:val="32"/>
        </w:rPr>
        <w:t>in person</w:t>
      </w:r>
      <w:r w:rsidR="00862064" w:rsidRPr="00B63CAB">
        <w:rPr>
          <w:b/>
          <w:bCs/>
          <w:sz w:val="32"/>
          <w:szCs w:val="32"/>
        </w:rPr>
        <w:t>.</w:t>
      </w:r>
    </w:p>
    <w:p w14:paraId="4D975DD1" w14:textId="77777777" w:rsidR="004700DA" w:rsidRPr="009A6B83" w:rsidRDefault="004700DA">
      <w:pPr>
        <w:pStyle w:val="Body"/>
        <w:rPr>
          <w:sz w:val="32"/>
          <w:szCs w:val="32"/>
        </w:rPr>
      </w:pPr>
    </w:p>
    <w:p w14:paraId="42F6F956" w14:textId="77777777" w:rsidR="004700DA" w:rsidRPr="009A6B83" w:rsidRDefault="00000000">
      <w:pPr>
        <w:pStyle w:val="Body"/>
        <w:rPr>
          <w:sz w:val="32"/>
          <w:szCs w:val="32"/>
        </w:rPr>
      </w:pPr>
      <w:r w:rsidRPr="009A6B83">
        <w:rPr>
          <w:sz w:val="32"/>
          <w:szCs w:val="32"/>
        </w:rPr>
        <w:t>On occasion (due to illness, holiday or travel), live lectures may be replaced by pre-recorded lectures that will be posted to the course website, or by live lectures via Zoom. Announcements for these will be made through the course website. I will also announce any class cancellation at least one week in advance.</w:t>
      </w:r>
    </w:p>
    <w:p w14:paraId="17C82CFD" w14:textId="77777777" w:rsidR="004700DA" w:rsidRPr="009A6B83" w:rsidRDefault="004700DA">
      <w:pPr>
        <w:pStyle w:val="Body"/>
        <w:rPr>
          <w:sz w:val="32"/>
          <w:szCs w:val="32"/>
        </w:rPr>
      </w:pPr>
    </w:p>
    <w:p w14:paraId="7572AA18" w14:textId="77777777" w:rsidR="004700DA" w:rsidRPr="009A6B83" w:rsidRDefault="00000000">
      <w:pPr>
        <w:pStyle w:val="Body"/>
        <w:rPr>
          <w:sz w:val="32"/>
          <w:szCs w:val="32"/>
        </w:rPr>
      </w:pPr>
      <w:r w:rsidRPr="009A6B83">
        <w:rPr>
          <w:sz w:val="32"/>
          <w:szCs w:val="32"/>
        </w:rPr>
        <w:t>Attendance is mandatory but will not be tracked. If you need to miss a lecture, you may contact me or a classmate to get course notes. I will also post course notes on the course website.</w:t>
      </w:r>
    </w:p>
    <w:p w14:paraId="4AF43FCC" w14:textId="77777777" w:rsidR="004700DA" w:rsidRDefault="00000000">
      <w:pPr>
        <w:pStyle w:val="Heading"/>
      </w:pPr>
      <w:r>
        <w:lastRenderedPageBreak/>
        <w:t>Grading and faculty response</w:t>
      </w:r>
    </w:p>
    <w:p w14:paraId="1740504D" w14:textId="77777777" w:rsidR="004700DA" w:rsidRPr="00156A21" w:rsidRDefault="00000000">
      <w:pPr>
        <w:pStyle w:val="Heading2"/>
        <w:rPr>
          <w:b w:val="0"/>
          <w:bCs w:val="0"/>
          <w:color w:val="FF0000"/>
          <w:sz w:val="40"/>
          <w:szCs w:val="40"/>
          <w:u w:color="FF0000"/>
        </w:rPr>
      </w:pPr>
      <w:r w:rsidRPr="00156A21">
        <w:rPr>
          <w:sz w:val="40"/>
          <w:szCs w:val="40"/>
          <w:lang w:val="en-US"/>
        </w:rPr>
        <w:t>Homework, Quizzes and Exams</w:t>
      </w:r>
    </w:p>
    <w:tbl>
      <w:tblPr>
        <w:tblW w:w="92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6515"/>
        <w:gridCol w:w="2766"/>
      </w:tblGrid>
      <w:tr w:rsidR="004700DA" w14:paraId="39C341FF" w14:textId="77777777">
        <w:trPr>
          <w:trHeight w:val="257"/>
          <w:tblHeader/>
        </w:trPr>
        <w:tc>
          <w:tcPr>
            <w:tcW w:w="65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554FA0" w14:textId="77777777" w:rsidR="004700DA" w:rsidRDefault="00000000">
            <w:pPr>
              <w:pStyle w:val="TableData"/>
            </w:pPr>
            <w:r>
              <w:t>Assignment or category</w:t>
            </w:r>
          </w:p>
        </w:tc>
        <w:tc>
          <w:tcPr>
            <w:tcW w:w="27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DC62B2" w14:textId="77777777" w:rsidR="004700DA" w:rsidRDefault="00000000">
            <w:pPr>
              <w:pStyle w:val="TableData"/>
            </w:pPr>
            <w:r>
              <w:t>Percentage</w:t>
            </w:r>
          </w:p>
        </w:tc>
      </w:tr>
      <w:tr w:rsidR="004700DA" w14:paraId="00F4B0C3" w14:textId="77777777">
        <w:tblPrEx>
          <w:shd w:val="clear" w:color="auto" w:fill="CDD4E9"/>
        </w:tblPrEx>
        <w:trPr>
          <w:trHeight w:val="257"/>
        </w:trPr>
        <w:tc>
          <w:tcPr>
            <w:tcW w:w="6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C7ACBB" w14:textId="77777777" w:rsidR="004700DA" w:rsidRDefault="00000000">
            <w:pPr>
              <w:pStyle w:val="TableData"/>
            </w:pPr>
            <w:r>
              <w:t>Homework</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A344A" w14:textId="77777777" w:rsidR="004700DA" w:rsidRDefault="00000000">
            <w:pPr>
              <w:pStyle w:val="TableData"/>
            </w:pPr>
            <w:r>
              <w:t>30</w:t>
            </w:r>
          </w:p>
        </w:tc>
      </w:tr>
      <w:tr w:rsidR="004700DA" w14:paraId="728A9559" w14:textId="77777777">
        <w:tblPrEx>
          <w:shd w:val="clear" w:color="auto" w:fill="CDD4E9"/>
        </w:tblPrEx>
        <w:trPr>
          <w:trHeight w:val="257"/>
        </w:trPr>
        <w:tc>
          <w:tcPr>
            <w:tcW w:w="6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2DCCF5" w14:textId="77777777" w:rsidR="004700DA" w:rsidRDefault="00000000">
            <w:pPr>
              <w:pStyle w:val="TableData"/>
            </w:pPr>
            <w:r>
              <w:t>Midterm 1</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1C9B9C" w14:textId="77777777" w:rsidR="004700DA" w:rsidRDefault="00000000">
            <w:pPr>
              <w:pStyle w:val="TableData"/>
            </w:pPr>
            <w:r>
              <w:t>20</w:t>
            </w:r>
          </w:p>
        </w:tc>
      </w:tr>
      <w:tr w:rsidR="004700DA" w14:paraId="5262C332" w14:textId="77777777">
        <w:tblPrEx>
          <w:shd w:val="clear" w:color="auto" w:fill="CDD4E9"/>
        </w:tblPrEx>
        <w:trPr>
          <w:trHeight w:val="257"/>
        </w:trPr>
        <w:tc>
          <w:tcPr>
            <w:tcW w:w="6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9063D4" w14:textId="77777777" w:rsidR="004700DA" w:rsidRDefault="00000000">
            <w:pPr>
              <w:pStyle w:val="TableData"/>
            </w:pPr>
            <w:r>
              <w:t>Midterm 2</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529674" w14:textId="77777777" w:rsidR="004700DA" w:rsidRDefault="00000000">
            <w:pPr>
              <w:pStyle w:val="TableData"/>
            </w:pPr>
            <w:r>
              <w:t>20</w:t>
            </w:r>
          </w:p>
        </w:tc>
      </w:tr>
      <w:tr w:rsidR="004700DA" w14:paraId="36F27E72" w14:textId="77777777">
        <w:tblPrEx>
          <w:shd w:val="clear" w:color="auto" w:fill="CDD4E9"/>
        </w:tblPrEx>
        <w:trPr>
          <w:trHeight w:val="257"/>
        </w:trPr>
        <w:tc>
          <w:tcPr>
            <w:tcW w:w="6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E733F3" w14:textId="77777777" w:rsidR="004700DA" w:rsidRDefault="00000000">
            <w:pPr>
              <w:pStyle w:val="TableData"/>
            </w:pPr>
            <w:r>
              <w:t>Final Exam</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C0C281" w14:textId="77777777" w:rsidR="004700DA" w:rsidRDefault="00000000">
            <w:pPr>
              <w:pStyle w:val="TableData"/>
            </w:pPr>
            <w:r>
              <w:t>30</w:t>
            </w:r>
          </w:p>
        </w:tc>
      </w:tr>
      <w:tr w:rsidR="004700DA" w14:paraId="34F274C2" w14:textId="77777777">
        <w:tblPrEx>
          <w:shd w:val="clear" w:color="auto" w:fill="CDD4E9"/>
        </w:tblPrEx>
        <w:trPr>
          <w:trHeight w:val="257"/>
        </w:trPr>
        <w:tc>
          <w:tcPr>
            <w:tcW w:w="6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E99C01" w14:textId="77777777" w:rsidR="004700DA" w:rsidRDefault="00000000">
            <w:pPr>
              <w:pStyle w:val="TableData"/>
            </w:pPr>
            <w:r>
              <w:t>Total</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129BDF" w14:textId="77777777" w:rsidR="004700DA" w:rsidRDefault="00000000">
            <w:pPr>
              <w:pStyle w:val="TableData"/>
            </w:pPr>
            <w:r>
              <w:t>100</w:t>
            </w:r>
          </w:p>
        </w:tc>
      </w:tr>
    </w:tbl>
    <w:p w14:paraId="5475F989" w14:textId="77777777" w:rsidR="004700DA" w:rsidRDefault="004700DA">
      <w:pPr>
        <w:pStyle w:val="Body"/>
        <w:rPr>
          <w:i/>
          <w:iCs/>
        </w:rPr>
      </w:pPr>
    </w:p>
    <w:p w14:paraId="4CF2EC6A" w14:textId="4AB7D93D" w:rsidR="004700DA" w:rsidRPr="009A6B83" w:rsidRDefault="00000000">
      <w:pPr>
        <w:pStyle w:val="Body"/>
        <w:rPr>
          <w:sz w:val="32"/>
          <w:szCs w:val="32"/>
        </w:rPr>
      </w:pPr>
      <w:r w:rsidRPr="009A6B83">
        <w:rPr>
          <w:sz w:val="32"/>
          <w:szCs w:val="32"/>
        </w:rPr>
        <w:t>Grades will be recorded on the class website.</w:t>
      </w:r>
      <w:r w:rsidR="00B63CAB">
        <w:rPr>
          <w:sz w:val="32"/>
          <w:szCs w:val="32"/>
        </w:rPr>
        <w:t xml:space="preserve"> </w:t>
      </w:r>
    </w:p>
    <w:p w14:paraId="1E646AB6" w14:textId="77777777" w:rsidR="004700DA" w:rsidRPr="009A6B83" w:rsidRDefault="004700DA">
      <w:pPr>
        <w:pStyle w:val="Body"/>
        <w:rPr>
          <w:sz w:val="32"/>
          <w:szCs w:val="32"/>
        </w:rPr>
      </w:pPr>
    </w:p>
    <w:p w14:paraId="0D5E978B" w14:textId="77777777" w:rsidR="004700DA" w:rsidRPr="009A6B83" w:rsidRDefault="00000000">
      <w:pPr>
        <w:pStyle w:val="Body"/>
        <w:rPr>
          <w:sz w:val="32"/>
          <w:szCs w:val="32"/>
        </w:rPr>
      </w:pPr>
      <w:r w:rsidRPr="009A6B83">
        <w:rPr>
          <w:b/>
          <w:bCs/>
          <w:sz w:val="32"/>
          <w:szCs w:val="32"/>
        </w:rPr>
        <w:t xml:space="preserve">Homework: </w:t>
      </w:r>
      <w:r w:rsidRPr="009A6B83">
        <w:rPr>
          <w:sz w:val="32"/>
          <w:szCs w:val="32"/>
        </w:rPr>
        <w:t>Homework will be assigned regularly. Late assignments will NOT be accepted. Students are required to write clear and detailed answers to all homework problems to receive full credit.</w:t>
      </w:r>
    </w:p>
    <w:p w14:paraId="00E877A8" w14:textId="77777777" w:rsidR="004700DA" w:rsidRPr="009A6B83" w:rsidRDefault="004700DA">
      <w:pPr>
        <w:pStyle w:val="Body"/>
        <w:rPr>
          <w:sz w:val="32"/>
          <w:szCs w:val="32"/>
        </w:rPr>
      </w:pPr>
    </w:p>
    <w:p w14:paraId="7143186F" w14:textId="34420689" w:rsidR="004700DA" w:rsidRPr="009A6B83" w:rsidRDefault="00000000">
      <w:pPr>
        <w:pStyle w:val="Body"/>
        <w:rPr>
          <w:sz w:val="32"/>
          <w:szCs w:val="32"/>
        </w:rPr>
      </w:pPr>
      <w:r w:rsidRPr="009A6B83">
        <w:rPr>
          <w:sz w:val="32"/>
          <w:szCs w:val="32"/>
        </w:rPr>
        <w:t>You are encouraged to work together with classmates on the homework, but do not copy any solutions. Each student must produce their own homework solutions to be submitted electronically. Students are required to acknowledge their collaborators in their submission. Students are not permitted to look up or request solutions to homework problems in online forums or websites</w:t>
      </w:r>
      <w:r w:rsidR="00862064" w:rsidRPr="009A6B83">
        <w:rPr>
          <w:sz w:val="32"/>
          <w:szCs w:val="32"/>
        </w:rPr>
        <w:t xml:space="preserve">. The use of generative AI for homework is prohibited unless specifically mentioned by the instructor. On certain homework the instructor might allow the use of generative AI for visualization and exploration purpose. </w:t>
      </w:r>
    </w:p>
    <w:p w14:paraId="360D4134" w14:textId="77777777" w:rsidR="004700DA" w:rsidRPr="009A6B83" w:rsidRDefault="004700DA">
      <w:pPr>
        <w:pStyle w:val="Body"/>
        <w:rPr>
          <w:sz w:val="32"/>
          <w:szCs w:val="32"/>
        </w:rPr>
      </w:pPr>
    </w:p>
    <w:p w14:paraId="358B35E4" w14:textId="77777777" w:rsidR="004700DA" w:rsidRPr="009A6B83" w:rsidRDefault="00000000">
      <w:pPr>
        <w:pStyle w:val="Body"/>
        <w:rPr>
          <w:sz w:val="32"/>
          <w:szCs w:val="32"/>
        </w:rPr>
      </w:pPr>
      <w:r w:rsidRPr="009A6B83">
        <w:rPr>
          <w:sz w:val="32"/>
          <w:szCs w:val="32"/>
        </w:rPr>
        <w:t xml:space="preserve">All homework must be submitted online as a PDF file through the class website (Carmen). </w:t>
      </w:r>
    </w:p>
    <w:p w14:paraId="389F490A" w14:textId="77777777" w:rsidR="004700DA" w:rsidRPr="009A6B83" w:rsidRDefault="004700DA">
      <w:pPr>
        <w:pStyle w:val="Body"/>
        <w:rPr>
          <w:sz w:val="32"/>
          <w:szCs w:val="32"/>
        </w:rPr>
      </w:pPr>
    </w:p>
    <w:p w14:paraId="51C1DCF9" w14:textId="77777777" w:rsidR="004700DA" w:rsidRPr="009A6B83" w:rsidRDefault="00000000">
      <w:pPr>
        <w:pStyle w:val="Body"/>
        <w:spacing w:before="100" w:after="100"/>
        <w:rPr>
          <w:sz w:val="32"/>
          <w:szCs w:val="32"/>
        </w:rPr>
      </w:pPr>
      <w:r w:rsidRPr="009A6B83">
        <w:rPr>
          <w:b/>
          <w:bCs/>
          <w:sz w:val="32"/>
          <w:szCs w:val="32"/>
        </w:rPr>
        <w:lastRenderedPageBreak/>
        <w:t xml:space="preserve">Exams: </w:t>
      </w:r>
      <w:r w:rsidRPr="009A6B83">
        <w:rPr>
          <w:sz w:val="32"/>
          <w:szCs w:val="32"/>
        </w:rPr>
        <w:t xml:space="preserve">There will be two midterms and one final exam. All exams are in-class and closed book. For each exam (including the final exam) you are allowed to bring two 8.5"x11" sheets of handwritten notes (both sides) and a scientific calculator (something </w:t>
      </w:r>
      <w:proofErr w:type="gramStart"/>
      <w:r w:rsidRPr="009A6B83">
        <w:rPr>
          <w:sz w:val="32"/>
          <w:szCs w:val="32"/>
        </w:rPr>
        <w:t>similar to</w:t>
      </w:r>
      <w:proofErr w:type="gramEnd"/>
      <w:r w:rsidRPr="009A6B83">
        <w:rPr>
          <w:sz w:val="32"/>
          <w:szCs w:val="32"/>
        </w:rPr>
        <w:t xml:space="preserve"> a TI-83). You will not be allowed to use your cell phone, tablet, laptop, smart watch, or any other device with capability to connect to the Internet, or to other devices. The final exam will be comprehensive. Statistical tables will be provided for all exams as needed. The Midterm exams will be on </w:t>
      </w:r>
      <w:r w:rsidRPr="009A6B83">
        <w:rPr>
          <w:b/>
          <w:bCs/>
          <w:sz w:val="32"/>
          <w:szCs w:val="32"/>
        </w:rPr>
        <w:t xml:space="preserve">Wednesday, October 1 </w:t>
      </w:r>
      <w:r w:rsidRPr="009A6B83">
        <w:rPr>
          <w:sz w:val="32"/>
          <w:szCs w:val="32"/>
        </w:rPr>
        <w:t xml:space="preserve">and </w:t>
      </w:r>
      <w:r w:rsidRPr="009A6B83">
        <w:rPr>
          <w:b/>
          <w:bCs/>
          <w:sz w:val="32"/>
          <w:szCs w:val="32"/>
        </w:rPr>
        <w:t xml:space="preserve">Wednesday, November 12 </w:t>
      </w:r>
      <w:r w:rsidRPr="009A6B83">
        <w:rPr>
          <w:sz w:val="32"/>
          <w:szCs w:val="32"/>
        </w:rPr>
        <w:t>during class,</w:t>
      </w:r>
      <w:r w:rsidRPr="009A6B83">
        <w:rPr>
          <w:b/>
          <w:bCs/>
          <w:sz w:val="32"/>
          <w:szCs w:val="32"/>
        </w:rPr>
        <w:t xml:space="preserve"> </w:t>
      </w:r>
      <w:r w:rsidRPr="009A6B83">
        <w:rPr>
          <w:sz w:val="32"/>
          <w:szCs w:val="32"/>
        </w:rPr>
        <w:t xml:space="preserve">and the Final exam will be on </w:t>
      </w:r>
      <w:r w:rsidRPr="009A6B83">
        <w:rPr>
          <w:b/>
          <w:bCs/>
          <w:sz w:val="32"/>
          <w:szCs w:val="32"/>
        </w:rPr>
        <w:t xml:space="preserve">Monday, December 15 at 8:00-9:45am </w:t>
      </w:r>
      <w:r w:rsidRPr="009A6B83">
        <w:rPr>
          <w:sz w:val="32"/>
          <w:szCs w:val="32"/>
        </w:rPr>
        <w:t xml:space="preserve">in our regular classroom. </w:t>
      </w:r>
    </w:p>
    <w:p w14:paraId="15471C38" w14:textId="77777777" w:rsidR="004700DA" w:rsidRDefault="004700DA">
      <w:pPr>
        <w:pStyle w:val="Body"/>
        <w:spacing w:before="100" w:after="100"/>
      </w:pPr>
    </w:p>
    <w:p w14:paraId="64124910" w14:textId="77777777" w:rsidR="004700DA" w:rsidRPr="00156A21" w:rsidRDefault="00000000">
      <w:pPr>
        <w:pStyle w:val="Body"/>
        <w:rPr>
          <w:b/>
          <w:bCs/>
          <w:color w:val="740B0E"/>
          <w:sz w:val="40"/>
          <w:szCs w:val="40"/>
        </w:rPr>
      </w:pPr>
      <w:r w:rsidRPr="00156A21">
        <w:rPr>
          <w:b/>
          <w:bCs/>
          <w:color w:val="740B0E"/>
          <w:sz w:val="40"/>
          <w:szCs w:val="40"/>
        </w:rPr>
        <w:t>Grading Scale</w:t>
      </w:r>
    </w:p>
    <w:p w14:paraId="2C89D7E9" w14:textId="77777777" w:rsidR="004700DA" w:rsidRPr="009A6B83" w:rsidRDefault="00000000">
      <w:pPr>
        <w:pStyle w:val="Body"/>
        <w:rPr>
          <w:sz w:val="32"/>
          <w:szCs w:val="32"/>
        </w:rPr>
      </w:pPr>
      <w:r w:rsidRPr="009A6B83">
        <w:rPr>
          <w:sz w:val="32"/>
          <w:szCs w:val="32"/>
        </w:rPr>
        <w:t xml:space="preserve">93–100: A  </w:t>
      </w:r>
    </w:p>
    <w:p w14:paraId="3F2CCB1A" w14:textId="77777777" w:rsidR="004700DA" w:rsidRPr="009A6B83" w:rsidRDefault="00000000">
      <w:pPr>
        <w:pStyle w:val="Body"/>
        <w:rPr>
          <w:sz w:val="32"/>
          <w:szCs w:val="32"/>
        </w:rPr>
      </w:pPr>
      <w:r w:rsidRPr="009A6B83">
        <w:rPr>
          <w:sz w:val="32"/>
          <w:szCs w:val="32"/>
        </w:rPr>
        <w:t>90–92.9: A-</w:t>
      </w:r>
    </w:p>
    <w:p w14:paraId="34788CE5" w14:textId="77777777" w:rsidR="004700DA" w:rsidRPr="009A6B83" w:rsidRDefault="00000000">
      <w:pPr>
        <w:pStyle w:val="Body"/>
        <w:rPr>
          <w:sz w:val="32"/>
          <w:szCs w:val="32"/>
        </w:rPr>
      </w:pPr>
      <w:r w:rsidRPr="009A6B83">
        <w:rPr>
          <w:sz w:val="32"/>
          <w:szCs w:val="32"/>
        </w:rPr>
        <w:t xml:space="preserve">87–89.9: B+ </w:t>
      </w:r>
    </w:p>
    <w:p w14:paraId="0FC20EFA" w14:textId="77777777" w:rsidR="004700DA" w:rsidRPr="009A6B83" w:rsidRDefault="00000000">
      <w:pPr>
        <w:pStyle w:val="Body"/>
        <w:rPr>
          <w:sz w:val="32"/>
          <w:szCs w:val="32"/>
        </w:rPr>
      </w:pPr>
      <w:r w:rsidRPr="009A6B83">
        <w:rPr>
          <w:sz w:val="32"/>
          <w:szCs w:val="32"/>
        </w:rPr>
        <w:t xml:space="preserve">83–86.9: B </w:t>
      </w:r>
    </w:p>
    <w:p w14:paraId="22C541DF" w14:textId="77777777" w:rsidR="004700DA" w:rsidRPr="009A6B83" w:rsidRDefault="00000000">
      <w:pPr>
        <w:pStyle w:val="Body"/>
        <w:rPr>
          <w:sz w:val="32"/>
          <w:szCs w:val="32"/>
        </w:rPr>
      </w:pPr>
      <w:r w:rsidRPr="009A6B83">
        <w:rPr>
          <w:sz w:val="32"/>
          <w:szCs w:val="32"/>
        </w:rPr>
        <w:t xml:space="preserve">80–82.9: B-  </w:t>
      </w:r>
    </w:p>
    <w:p w14:paraId="047CD292" w14:textId="77777777" w:rsidR="004700DA" w:rsidRPr="009A6B83" w:rsidRDefault="00000000">
      <w:pPr>
        <w:pStyle w:val="Body"/>
        <w:rPr>
          <w:sz w:val="32"/>
          <w:szCs w:val="32"/>
        </w:rPr>
      </w:pPr>
      <w:r w:rsidRPr="009A6B83">
        <w:rPr>
          <w:sz w:val="32"/>
          <w:szCs w:val="32"/>
        </w:rPr>
        <w:t xml:space="preserve">77–79.9: C+  </w:t>
      </w:r>
    </w:p>
    <w:p w14:paraId="43A6D440" w14:textId="77777777" w:rsidR="004700DA" w:rsidRPr="009A6B83" w:rsidRDefault="00000000">
      <w:pPr>
        <w:pStyle w:val="Body"/>
        <w:rPr>
          <w:sz w:val="32"/>
          <w:szCs w:val="32"/>
        </w:rPr>
      </w:pPr>
      <w:r w:rsidRPr="009A6B83">
        <w:rPr>
          <w:sz w:val="32"/>
          <w:szCs w:val="32"/>
        </w:rPr>
        <w:t xml:space="preserve">73–76.9: C </w:t>
      </w:r>
    </w:p>
    <w:p w14:paraId="72297157" w14:textId="77777777" w:rsidR="004700DA" w:rsidRPr="009A6B83" w:rsidRDefault="00000000">
      <w:pPr>
        <w:pStyle w:val="Body"/>
        <w:rPr>
          <w:sz w:val="32"/>
          <w:szCs w:val="32"/>
        </w:rPr>
      </w:pPr>
      <w:r w:rsidRPr="009A6B83">
        <w:rPr>
          <w:sz w:val="32"/>
          <w:szCs w:val="32"/>
        </w:rPr>
        <w:t xml:space="preserve">70 –72.9: C-  </w:t>
      </w:r>
    </w:p>
    <w:p w14:paraId="3AEE0B7F" w14:textId="77777777" w:rsidR="004700DA" w:rsidRPr="009A6B83" w:rsidRDefault="00000000">
      <w:pPr>
        <w:pStyle w:val="Body"/>
        <w:rPr>
          <w:sz w:val="32"/>
          <w:szCs w:val="32"/>
        </w:rPr>
      </w:pPr>
      <w:r w:rsidRPr="009A6B83">
        <w:rPr>
          <w:sz w:val="32"/>
          <w:szCs w:val="32"/>
        </w:rPr>
        <w:t xml:space="preserve">67 –69.9: D+  </w:t>
      </w:r>
    </w:p>
    <w:p w14:paraId="593BC866" w14:textId="77777777" w:rsidR="004700DA" w:rsidRPr="009A6B83" w:rsidRDefault="00000000">
      <w:pPr>
        <w:pStyle w:val="Body"/>
        <w:rPr>
          <w:sz w:val="32"/>
          <w:szCs w:val="32"/>
        </w:rPr>
      </w:pPr>
      <w:r w:rsidRPr="009A6B83">
        <w:rPr>
          <w:sz w:val="32"/>
          <w:szCs w:val="32"/>
        </w:rPr>
        <w:t xml:space="preserve">60 –66.9: D </w:t>
      </w:r>
    </w:p>
    <w:p w14:paraId="6583D2E9" w14:textId="77777777" w:rsidR="004700DA" w:rsidRPr="009A6B83" w:rsidRDefault="00000000">
      <w:pPr>
        <w:pStyle w:val="Body"/>
        <w:rPr>
          <w:sz w:val="32"/>
          <w:szCs w:val="32"/>
        </w:rPr>
      </w:pPr>
      <w:r w:rsidRPr="009A6B83">
        <w:rPr>
          <w:sz w:val="32"/>
          <w:szCs w:val="32"/>
        </w:rPr>
        <w:t xml:space="preserve">Below 60: E </w:t>
      </w:r>
    </w:p>
    <w:p w14:paraId="0D3F1707" w14:textId="77777777" w:rsidR="004700DA" w:rsidRDefault="004700DA">
      <w:pPr>
        <w:pStyle w:val="Body"/>
      </w:pPr>
    </w:p>
    <w:p w14:paraId="48632DFA" w14:textId="77777777" w:rsidR="004700DA" w:rsidRPr="00156A21" w:rsidRDefault="00000000">
      <w:pPr>
        <w:pStyle w:val="Heading2"/>
        <w:rPr>
          <w:sz w:val="40"/>
          <w:szCs w:val="40"/>
        </w:rPr>
      </w:pPr>
      <w:r w:rsidRPr="00156A21">
        <w:rPr>
          <w:sz w:val="40"/>
          <w:szCs w:val="40"/>
          <w:lang w:val="en-US"/>
        </w:rPr>
        <w:t>Faculty feedback and response time</w:t>
      </w:r>
    </w:p>
    <w:p w14:paraId="1FE79FC5" w14:textId="77777777" w:rsidR="004700DA" w:rsidRPr="009A6B83" w:rsidRDefault="00000000">
      <w:pPr>
        <w:pStyle w:val="Body"/>
        <w:rPr>
          <w:sz w:val="32"/>
          <w:szCs w:val="32"/>
        </w:rPr>
      </w:pPr>
      <w:r w:rsidRPr="009A6B83">
        <w:rPr>
          <w:sz w:val="32"/>
          <w:szCs w:val="32"/>
        </w:rPr>
        <w:t xml:space="preserve">I am providing the following list to give you an idea of my intended availability throughout the course. </w:t>
      </w:r>
    </w:p>
    <w:p w14:paraId="13E91B24" w14:textId="77777777" w:rsidR="004700DA" w:rsidRPr="009A6B83" w:rsidRDefault="00000000">
      <w:pPr>
        <w:pStyle w:val="Body"/>
        <w:numPr>
          <w:ilvl w:val="0"/>
          <w:numId w:val="4"/>
        </w:numPr>
        <w:rPr>
          <w:sz w:val="32"/>
          <w:szCs w:val="32"/>
        </w:rPr>
      </w:pPr>
      <w:r w:rsidRPr="009A6B83">
        <w:rPr>
          <w:b/>
          <w:bCs/>
          <w:sz w:val="32"/>
          <w:szCs w:val="32"/>
        </w:rPr>
        <w:t>Grading and feedback:</w:t>
      </w:r>
      <w:r w:rsidRPr="009A6B83">
        <w:rPr>
          <w:sz w:val="32"/>
          <w:szCs w:val="32"/>
        </w:rPr>
        <w:t xml:space="preserve"> For weekly assignments, you can generally expect feedback within 14 days.</w:t>
      </w:r>
    </w:p>
    <w:p w14:paraId="70C2EDFF" w14:textId="77777777" w:rsidR="004700DA" w:rsidRPr="009A6B83" w:rsidRDefault="00000000">
      <w:pPr>
        <w:pStyle w:val="Body"/>
        <w:numPr>
          <w:ilvl w:val="0"/>
          <w:numId w:val="4"/>
        </w:numPr>
        <w:rPr>
          <w:sz w:val="32"/>
          <w:szCs w:val="32"/>
        </w:rPr>
      </w:pPr>
      <w:r w:rsidRPr="009A6B83">
        <w:rPr>
          <w:b/>
          <w:bCs/>
          <w:sz w:val="32"/>
          <w:szCs w:val="32"/>
        </w:rPr>
        <w:t xml:space="preserve">E-mail: </w:t>
      </w:r>
      <w:r w:rsidRPr="009A6B83">
        <w:rPr>
          <w:sz w:val="32"/>
          <w:szCs w:val="32"/>
        </w:rPr>
        <w:t>You are expected to attend office hours. I do not guarantee answers to emails.</w:t>
      </w:r>
    </w:p>
    <w:p w14:paraId="01313924" w14:textId="77777777" w:rsidR="004700DA" w:rsidRDefault="00000000">
      <w:pPr>
        <w:pStyle w:val="Body"/>
        <w:numPr>
          <w:ilvl w:val="0"/>
          <w:numId w:val="4"/>
        </w:numPr>
      </w:pPr>
      <w:r w:rsidRPr="009A6B83">
        <w:rPr>
          <w:b/>
          <w:bCs/>
          <w:sz w:val="32"/>
          <w:szCs w:val="32"/>
        </w:rPr>
        <w:lastRenderedPageBreak/>
        <w:t>Discussion board:</w:t>
      </w:r>
      <w:r w:rsidRPr="009A6B83">
        <w:rPr>
          <w:sz w:val="32"/>
          <w:szCs w:val="32"/>
        </w:rPr>
        <w:t xml:space="preserve"> I will check and reply to messages in the discussion boards every 48 hours on school days.</w:t>
      </w:r>
      <w:r>
        <w:t xml:space="preserve"> </w:t>
      </w:r>
      <w:r>
        <w:rPr>
          <w:rFonts w:ascii="Arial Unicode MS" w:hAnsi="Arial Unicode MS"/>
        </w:rPr>
        <w:br w:type="page"/>
      </w:r>
    </w:p>
    <w:p w14:paraId="6C8FA2CF" w14:textId="77777777" w:rsidR="004700DA" w:rsidRPr="00156A21" w:rsidRDefault="00000000">
      <w:pPr>
        <w:pStyle w:val="Heading2"/>
        <w:rPr>
          <w:sz w:val="40"/>
          <w:szCs w:val="40"/>
        </w:rPr>
      </w:pPr>
      <w:r w:rsidRPr="00156A21">
        <w:rPr>
          <w:sz w:val="40"/>
          <w:szCs w:val="40"/>
          <w:lang w:val="en-US"/>
        </w:rPr>
        <w:lastRenderedPageBreak/>
        <w:t>Disclaimer</w:t>
      </w:r>
    </w:p>
    <w:p w14:paraId="5B3016BE" w14:textId="77777777" w:rsidR="00862064" w:rsidRPr="009A6B83" w:rsidRDefault="00000000">
      <w:pPr>
        <w:pStyle w:val="Body"/>
        <w:rPr>
          <w:sz w:val="32"/>
          <w:szCs w:val="32"/>
        </w:rPr>
      </w:pPr>
      <w:r w:rsidRPr="009A6B83">
        <w:rPr>
          <w:sz w:val="32"/>
          <w:szCs w:val="32"/>
        </w:rPr>
        <w:t xml:space="preserve">This syllabus should be taken as a </w:t>
      </w:r>
      <w:proofErr w:type="gramStart"/>
      <w:r w:rsidRPr="009A6B83">
        <w:rPr>
          <w:sz w:val="32"/>
          <w:szCs w:val="32"/>
        </w:rPr>
        <w:t>fairly reliable</w:t>
      </w:r>
      <w:proofErr w:type="gramEnd"/>
      <w:r w:rsidRPr="009A6B83">
        <w:rPr>
          <w:sz w:val="32"/>
          <w:szCs w:val="32"/>
        </w:rPr>
        <w:t xml:space="preserve"> guide for the course content. However, you cannot claim any rights from it, and I reserve the right to change due dates, the methods of grading and/or assessment or the course content and its progression if necessary. Any changes will be communicated to you through official course announcements.</w:t>
      </w:r>
    </w:p>
    <w:p w14:paraId="1F367621" w14:textId="77777777" w:rsidR="00862064" w:rsidRDefault="00862064">
      <w:pPr>
        <w:pStyle w:val="Body"/>
      </w:pPr>
    </w:p>
    <w:p w14:paraId="075EA316" w14:textId="158ADA4E" w:rsidR="00862064" w:rsidRPr="00156A21" w:rsidRDefault="00862064" w:rsidP="00862064">
      <w:pPr>
        <w:pStyle w:val="Heading2"/>
        <w:rPr>
          <w:sz w:val="40"/>
          <w:szCs w:val="40"/>
          <w:lang w:val="en-US"/>
        </w:rPr>
      </w:pPr>
      <w:r w:rsidRPr="00156A21">
        <w:rPr>
          <w:sz w:val="40"/>
          <w:szCs w:val="40"/>
          <w:lang w:val="en-US"/>
        </w:rPr>
        <w:t>Make up Policy</w:t>
      </w:r>
    </w:p>
    <w:p w14:paraId="3CA78627" w14:textId="3A854008" w:rsidR="00862064" w:rsidRPr="009A6B83" w:rsidRDefault="00862064" w:rsidP="00862064">
      <w:pPr>
        <w:pStyle w:val="p1"/>
        <w:rPr>
          <w:sz w:val="32"/>
          <w:szCs w:val="32"/>
        </w:rPr>
      </w:pPr>
      <w:r w:rsidRPr="009A6B83">
        <w:rPr>
          <w:sz w:val="32"/>
          <w:szCs w:val="32"/>
        </w:rPr>
        <w:t xml:space="preserve">Late submission of homework and make-up exams will </w:t>
      </w:r>
      <w:r w:rsidRPr="009A6B83">
        <w:rPr>
          <w:rStyle w:val="s1"/>
          <w:b/>
          <w:bCs/>
          <w:sz w:val="32"/>
          <w:szCs w:val="32"/>
        </w:rPr>
        <w:t>not</w:t>
      </w:r>
      <w:r w:rsidRPr="009A6B83">
        <w:rPr>
          <w:sz w:val="32"/>
          <w:szCs w:val="32"/>
        </w:rPr>
        <w:t xml:space="preserve"> be permitted. Exceptions will be considered only in cases of documented medical emergencies, for which a valid written note from a licensed healthcare provider must be provided.</w:t>
      </w:r>
    </w:p>
    <w:p w14:paraId="16CE79DD" w14:textId="612C528F" w:rsidR="00862064" w:rsidRPr="009A6B83" w:rsidRDefault="00862064" w:rsidP="00862064">
      <w:pPr>
        <w:pStyle w:val="p1"/>
        <w:rPr>
          <w:sz w:val="32"/>
          <w:szCs w:val="32"/>
        </w:rPr>
      </w:pPr>
      <w:r w:rsidRPr="009A6B83">
        <w:rPr>
          <w:sz w:val="32"/>
          <w:szCs w:val="32"/>
        </w:rPr>
        <w:t>In rare and exceptional circumstances, the instructor may, at their sole discretion, grant an exception. Such exceptions are not guaranteed and shall not be considered a student entitlement. The decision of the instructor in these matters is final.</w:t>
      </w:r>
    </w:p>
    <w:p w14:paraId="53438AB0" w14:textId="56BBD79B" w:rsidR="00862064" w:rsidRDefault="00862064" w:rsidP="00862064">
      <w:pPr>
        <w:pStyle w:val="Heading2"/>
        <w:rPr>
          <w:lang w:val="en-US"/>
        </w:rPr>
      </w:pPr>
      <w:r>
        <w:rPr>
          <w:lang w:val="en-US"/>
        </w:rPr>
        <w:t>Generative AI Policy</w:t>
      </w:r>
    </w:p>
    <w:p w14:paraId="1E046170"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 xml:space="preserve">There has been a significant increase in the popularity and availability of a variety of generative artificial intelligence (AI) tools, including ChatGPT, </w:t>
      </w:r>
      <w:proofErr w:type="spellStart"/>
      <w:r w:rsidRPr="009A6B83">
        <w:rPr>
          <w:rFonts w:ascii="Georgia" w:hAnsi="Georgia"/>
          <w:color w:val="212325"/>
          <w:sz w:val="32"/>
          <w:szCs w:val="32"/>
        </w:rPr>
        <w:t>Sudowrite</w:t>
      </w:r>
      <w:proofErr w:type="spellEnd"/>
      <w:r w:rsidRPr="009A6B83">
        <w:rPr>
          <w:rFonts w:ascii="Georgia" w:hAnsi="Georgia"/>
          <w:color w:val="212325"/>
          <w:sz w:val="32"/>
          <w:szCs w:val="32"/>
        </w:rPr>
        <w:t>, and others. These tools will help shape the future of work, research and technology, but when used in the wrong way, they can stand in conflict with academic integrity at Ohio State.</w:t>
      </w:r>
    </w:p>
    <w:p w14:paraId="291AD317"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 xml:space="preserve">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w:t>
      </w:r>
      <w:r w:rsidRPr="009A6B83">
        <w:rPr>
          <w:rFonts w:ascii="Georgia" w:hAnsi="Georgia"/>
          <w:color w:val="212325"/>
          <w:sz w:val="32"/>
          <w:szCs w:val="32"/>
        </w:rPr>
        <w:lastRenderedPageBreak/>
        <w:t>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0520E530"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28E33824" w14:textId="77777777" w:rsidR="00156A21" w:rsidRPr="009A6B83" w:rsidRDefault="00156A21" w:rsidP="00156A21">
      <w:pPr>
        <w:pStyle w:val="p1"/>
        <w:rPr>
          <w:sz w:val="32"/>
          <w:szCs w:val="32"/>
        </w:rPr>
      </w:pPr>
      <w:r w:rsidRPr="009A6B83">
        <w:rPr>
          <w:sz w:val="32"/>
          <w:szCs w:val="32"/>
        </w:rPr>
        <w:t>The instructor may, at their discretion, incorporate AI-generated content into class materials for instructional purposes.</w:t>
      </w:r>
    </w:p>
    <w:p w14:paraId="6070679B" w14:textId="77777777" w:rsidR="00862064" w:rsidRDefault="00862064" w:rsidP="00862064">
      <w:pPr>
        <w:pStyle w:val="p1"/>
      </w:pPr>
    </w:p>
    <w:p w14:paraId="69DBEF41" w14:textId="77777777" w:rsidR="00862064" w:rsidRDefault="00862064" w:rsidP="00862064">
      <w:pPr>
        <w:pStyle w:val="p1"/>
      </w:pPr>
    </w:p>
    <w:p w14:paraId="5D65E0D3" w14:textId="5EE5568E" w:rsidR="004700DA" w:rsidRDefault="00000000">
      <w:pPr>
        <w:pStyle w:val="Body"/>
      </w:pPr>
      <w:r>
        <w:rPr>
          <w:rFonts w:ascii="Arial Unicode MS" w:hAnsi="Arial Unicode MS"/>
        </w:rPr>
        <w:br w:type="page"/>
      </w:r>
    </w:p>
    <w:p w14:paraId="286EE1A2" w14:textId="77777777" w:rsidR="004700DA" w:rsidRPr="009A6B83" w:rsidRDefault="00000000">
      <w:pPr>
        <w:pStyle w:val="Heading2"/>
        <w:rPr>
          <w:sz w:val="40"/>
          <w:szCs w:val="40"/>
        </w:rPr>
      </w:pPr>
      <w:r w:rsidRPr="009A6B83">
        <w:rPr>
          <w:sz w:val="40"/>
          <w:szCs w:val="40"/>
          <w:lang w:val="en-US"/>
        </w:rPr>
        <w:lastRenderedPageBreak/>
        <w:t>Tentative Schedule of Topics</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7"/>
        <w:gridCol w:w="1678"/>
        <w:gridCol w:w="6745"/>
      </w:tblGrid>
      <w:tr w:rsidR="004700DA" w14:paraId="03546296" w14:textId="77777777">
        <w:trPr>
          <w:trHeight w:val="3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A5A5A5"/>
            <w:tcMar>
              <w:top w:w="80" w:type="dxa"/>
              <w:left w:w="80" w:type="dxa"/>
              <w:bottom w:w="80" w:type="dxa"/>
              <w:right w:w="80" w:type="dxa"/>
            </w:tcMar>
          </w:tcPr>
          <w:p w14:paraId="40D2DBAB" w14:textId="77777777" w:rsidR="004700DA" w:rsidRDefault="00000000">
            <w:pPr>
              <w:pStyle w:val="Body"/>
              <w:jc w:val="center"/>
            </w:pPr>
            <w:r>
              <w:rPr>
                <w:b/>
                <w:bCs/>
              </w:rPr>
              <w:t>Week</w:t>
            </w:r>
          </w:p>
        </w:tc>
        <w:tc>
          <w:tcPr>
            <w:tcW w:w="1678" w:type="dxa"/>
            <w:tcBorders>
              <w:top w:val="single" w:sz="4" w:space="0" w:color="000000"/>
              <w:left w:val="single" w:sz="4" w:space="0" w:color="000000"/>
              <w:bottom w:val="single" w:sz="4" w:space="0" w:color="A5A5A5"/>
              <w:right w:val="single" w:sz="4" w:space="0" w:color="000000"/>
            </w:tcBorders>
            <w:shd w:val="clear" w:color="auto" w:fill="A5A5A5"/>
            <w:tcMar>
              <w:top w:w="80" w:type="dxa"/>
              <w:left w:w="80" w:type="dxa"/>
              <w:bottom w:w="80" w:type="dxa"/>
              <w:right w:w="80" w:type="dxa"/>
            </w:tcMar>
          </w:tcPr>
          <w:p w14:paraId="74420476" w14:textId="77777777" w:rsidR="004700DA" w:rsidRDefault="00000000">
            <w:pPr>
              <w:pStyle w:val="Body"/>
              <w:jc w:val="center"/>
            </w:pPr>
            <w:r>
              <w:rPr>
                <w:b/>
                <w:bCs/>
              </w:rPr>
              <w:t>Book sections</w:t>
            </w:r>
          </w:p>
        </w:tc>
        <w:tc>
          <w:tcPr>
            <w:tcW w:w="6745" w:type="dxa"/>
            <w:tcBorders>
              <w:top w:val="single" w:sz="4" w:space="0" w:color="000000"/>
              <w:left w:val="single" w:sz="4" w:space="0" w:color="000000"/>
              <w:bottom w:val="single" w:sz="4" w:space="0" w:color="A5A5A5"/>
              <w:right w:val="single" w:sz="4" w:space="0" w:color="000000"/>
            </w:tcBorders>
            <w:shd w:val="clear" w:color="auto" w:fill="A5A5A5"/>
            <w:tcMar>
              <w:top w:w="80" w:type="dxa"/>
              <w:left w:w="80" w:type="dxa"/>
              <w:bottom w:w="80" w:type="dxa"/>
              <w:right w:w="80" w:type="dxa"/>
            </w:tcMar>
          </w:tcPr>
          <w:p w14:paraId="23B21ECD" w14:textId="77777777" w:rsidR="004700DA" w:rsidRDefault="00000000">
            <w:pPr>
              <w:pStyle w:val="Body"/>
              <w:jc w:val="center"/>
            </w:pPr>
            <w:r>
              <w:rPr>
                <w:b/>
                <w:bCs/>
              </w:rPr>
              <w:t>Topics</w:t>
            </w:r>
          </w:p>
        </w:tc>
      </w:tr>
      <w:tr w:rsidR="004700DA" w14:paraId="07F1374D" w14:textId="77777777">
        <w:trPr>
          <w:trHeight w:val="3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6CC3D" w14:textId="77777777" w:rsidR="004700DA" w:rsidRDefault="00000000">
            <w:pPr>
              <w:pStyle w:val="Body"/>
              <w:jc w:val="center"/>
            </w:pPr>
            <w:r>
              <w:rPr>
                <w:b/>
                <w:bCs/>
              </w:rPr>
              <w:t>1</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37E61F66" w14:textId="77777777" w:rsidR="004700DA" w:rsidRDefault="00000000">
            <w:pPr>
              <w:pStyle w:val="Body"/>
              <w:jc w:val="center"/>
            </w:pPr>
            <w:r>
              <w:t>1.1-1.5</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124F515E" w14:textId="77777777" w:rsidR="004700DA" w:rsidRDefault="00000000">
            <w:pPr>
              <w:pStyle w:val="Body"/>
              <w:jc w:val="center"/>
            </w:pPr>
            <w:r>
              <w:t xml:space="preserve">Calculus review, intro to probability </w:t>
            </w:r>
          </w:p>
        </w:tc>
      </w:tr>
      <w:tr w:rsidR="004700DA" w14:paraId="08E3D9A6"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4BE348A2" w14:textId="77777777" w:rsidR="004700DA" w:rsidRDefault="00000000">
            <w:pPr>
              <w:pStyle w:val="Body"/>
              <w:jc w:val="center"/>
            </w:pPr>
            <w:r>
              <w:rPr>
                <w:b/>
                <w:bCs/>
              </w:rPr>
              <w:t>2</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69664983" w14:textId="77777777" w:rsidR="004700DA" w:rsidRDefault="00000000">
            <w:pPr>
              <w:pStyle w:val="Body"/>
              <w:jc w:val="center"/>
            </w:pPr>
            <w:r>
              <w:t>1.5-1.10, 2.1</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141F1E8E" w14:textId="77777777" w:rsidR="004700DA" w:rsidRDefault="00000000">
            <w:pPr>
              <w:pStyle w:val="Body"/>
              <w:jc w:val="center"/>
            </w:pPr>
            <w:r>
              <w:t>Sample spaces, events, counting, assigning probabilities, conditional probability</w:t>
            </w:r>
          </w:p>
        </w:tc>
      </w:tr>
      <w:tr w:rsidR="004700DA" w14:paraId="2BB9333B" w14:textId="77777777">
        <w:trPr>
          <w:trHeight w:val="3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21614A" w14:textId="77777777" w:rsidR="004700DA" w:rsidRDefault="00000000">
            <w:pPr>
              <w:pStyle w:val="Body"/>
              <w:jc w:val="center"/>
            </w:pPr>
            <w:r>
              <w:rPr>
                <w:b/>
                <w:bCs/>
              </w:rPr>
              <w:t>3</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239E1F43" w14:textId="77777777" w:rsidR="004700DA" w:rsidRDefault="00000000">
            <w:pPr>
              <w:pStyle w:val="Body"/>
              <w:jc w:val="center"/>
            </w:pPr>
            <w:r>
              <w:t>2.2-2.3</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04221CD8" w14:textId="77777777" w:rsidR="004700DA" w:rsidRDefault="00000000">
            <w:pPr>
              <w:pStyle w:val="Body"/>
              <w:jc w:val="center"/>
            </w:pPr>
            <w:proofErr w:type="gramStart"/>
            <w:r>
              <w:t>Labor day</w:t>
            </w:r>
            <w:proofErr w:type="gramEnd"/>
            <w:r>
              <w:t xml:space="preserve"> Monday (no class Mon), Independence, Bayes Theorem</w:t>
            </w:r>
          </w:p>
        </w:tc>
      </w:tr>
      <w:tr w:rsidR="004700DA" w14:paraId="0DE3F181"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7AEF3114" w14:textId="77777777" w:rsidR="004700DA" w:rsidRDefault="00000000">
            <w:pPr>
              <w:pStyle w:val="Body"/>
              <w:jc w:val="center"/>
            </w:pPr>
            <w:r>
              <w:rPr>
                <w:b/>
                <w:bCs/>
              </w:rPr>
              <w:t>4</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453AB384" w14:textId="77777777" w:rsidR="004700DA" w:rsidRDefault="00000000">
            <w:pPr>
              <w:pStyle w:val="Body"/>
              <w:jc w:val="center"/>
            </w:pPr>
            <w:r>
              <w:t>3.1-3.3</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7805B454" w14:textId="77777777" w:rsidR="004700DA" w:rsidRDefault="00000000">
            <w:pPr>
              <w:pStyle w:val="Body"/>
              <w:jc w:val="center"/>
            </w:pPr>
            <w:r>
              <w:t>Random variables, discrete distributions, continuous distributions, CDFs</w:t>
            </w:r>
          </w:p>
        </w:tc>
      </w:tr>
      <w:tr w:rsidR="004700DA" w14:paraId="750C8C87" w14:textId="77777777">
        <w:trPr>
          <w:trHeight w:val="6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B4A66B" w14:textId="77777777" w:rsidR="004700DA" w:rsidRDefault="00000000">
            <w:pPr>
              <w:pStyle w:val="Body"/>
              <w:jc w:val="center"/>
            </w:pPr>
            <w:r>
              <w:rPr>
                <w:b/>
                <w:bCs/>
              </w:rPr>
              <w:t>5</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39615ECB" w14:textId="77777777" w:rsidR="004700DA" w:rsidRDefault="00000000">
            <w:pPr>
              <w:pStyle w:val="Body"/>
              <w:jc w:val="center"/>
            </w:pPr>
            <w:r>
              <w:t>3.4-3.7</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677E5840" w14:textId="77777777" w:rsidR="004700DA" w:rsidRDefault="00000000">
            <w:pPr>
              <w:pStyle w:val="Body"/>
              <w:jc w:val="center"/>
            </w:pPr>
            <w:r>
              <w:t>Bivariate distributions, conditional and marginal distributions, multivariate distributions</w:t>
            </w:r>
          </w:p>
        </w:tc>
      </w:tr>
      <w:tr w:rsidR="004700DA" w14:paraId="56E66462" w14:textId="77777777">
        <w:trPr>
          <w:trHeight w:val="9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7D780BDA" w14:textId="77777777" w:rsidR="004700DA" w:rsidRDefault="00000000">
            <w:pPr>
              <w:pStyle w:val="Body"/>
              <w:jc w:val="center"/>
            </w:pPr>
            <w:r>
              <w:rPr>
                <w:b/>
                <w:bCs/>
              </w:rPr>
              <w:t>6</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016BB14C" w14:textId="77777777" w:rsidR="004700DA" w:rsidRDefault="00000000">
            <w:pPr>
              <w:pStyle w:val="Body"/>
              <w:jc w:val="center"/>
            </w:pPr>
            <w:r>
              <w:t>3.8-3.9</w:t>
            </w:r>
          </w:p>
          <w:p w14:paraId="1B7D50E8" w14:textId="77777777" w:rsidR="004700DA" w:rsidRDefault="00000000">
            <w:pPr>
              <w:pStyle w:val="Body"/>
              <w:jc w:val="center"/>
            </w:pPr>
            <w:r>
              <w:rPr>
                <w:b/>
                <w:bCs/>
              </w:rPr>
              <w:t>Midterm 1</w:t>
            </w:r>
          </w:p>
          <w:p w14:paraId="319592C6" w14:textId="77777777" w:rsidR="004700DA" w:rsidRDefault="00000000">
            <w:pPr>
              <w:pStyle w:val="Body"/>
              <w:jc w:val="center"/>
            </w:pPr>
            <w:r>
              <w:t>4.1</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522C87A3" w14:textId="77777777" w:rsidR="004700DA" w:rsidRDefault="00000000">
            <w:pPr>
              <w:pStyle w:val="Body"/>
              <w:jc w:val="center"/>
            </w:pPr>
            <w:r>
              <w:t>Functions of random variables</w:t>
            </w:r>
          </w:p>
          <w:p w14:paraId="115C6846" w14:textId="77777777" w:rsidR="004700DA" w:rsidRDefault="00000000">
            <w:pPr>
              <w:pStyle w:val="Body"/>
              <w:jc w:val="center"/>
              <w:rPr>
                <w:b/>
                <w:bCs/>
              </w:rPr>
            </w:pPr>
            <w:r>
              <w:rPr>
                <w:b/>
                <w:bCs/>
              </w:rPr>
              <w:t>Midterm 1 on Wednesday</w:t>
            </w:r>
          </w:p>
          <w:p w14:paraId="2118FE74" w14:textId="77777777" w:rsidR="004700DA" w:rsidRDefault="00000000">
            <w:pPr>
              <w:pStyle w:val="Body"/>
              <w:jc w:val="center"/>
            </w:pPr>
            <w:r>
              <w:t>Expectation</w:t>
            </w:r>
          </w:p>
        </w:tc>
      </w:tr>
      <w:tr w:rsidR="004700DA" w14:paraId="5B841AF0" w14:textId="77777777">
        <w:trPr>
          <w:trHeight w:val="3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A5DEF0" w14:textId="77777777" w:rsidR="004700DA" w:rsidRDefault="00000000">
            <w:pPr>
              <w:pStyle w:val="Body"/>
              <w:jc w:val="center"/>
            </w:pPr>
            <w:r>
              <w:rPr>
                <w:b/>
                <w:bCs/>
              </w:rPr>
              <w:t>7</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79668722" w14:textId="77777777" w:rsidR="004700DA" w:rsidRDefault="00000000">
            <w:pPr>
              <w:pStyle w:val="Body"/>
              <w:jc w:val="center"/>
            </w:pPr>
            <w:r>
              <w:t>4.1-4.5</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6D5B1D68" w14:textId="77777777" w:rsidR="004700DA" w:rsidRDefault="00000000">
            <w:pPr>
              <w:pStyle w:val="Body"/>
              <w:jc w:val="center"/>
            </w:pPr>
            <w:r>
              <w:t>Expectation, variance, moments, means, medians</w:t>
            </w:r>
          </w:p>
        </w:tc>
      </w:tr>
      <w:tr w:rsidR="004700DA" w14:paraId="1A87E0B7"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760A4246" w14:textId="77777777" w:rsidR="004700DA" w:rsidRDefault="00000000">
            <w:pPr>
              <w:pStyle w:val="Body"/>
              <w:jc w:val="center"/>
            </w:pPr>
            <w:r>
              <w:rPr>
                <w:b/>
                <w:bCs/>
              </w:rPr>
              <w:t>8</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029D7683" w14:textId="77777777" w:rsidR="004700DA" w:rsidRDefault="00000000">
            <w:pPr>
              <w:pStyle w:val="Body"/>
              <w:jc w:val="center"/>
            </w:pPr>
            <w:r>
              <w:t>4.6-4.7</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6DD83576" w14:textId="77777777" w:rsidR="004700DA" w:rsidRDefault="00000000">
            <w:pPr>
              <w:pStyle w:val="Body"/>
              <w:jc w:val="center"/>
            </w:pPr>
            <w:r>
              <w:t>Covariance &amp; correlation, conditional expectation, Fall Break (no class Fri)</w:t>
            </w:r>
          </w:p>
        </w:tc>
      </w:tr>
      <w:tr w:rsidR="004700DA" w14:paraId="5891F2CB" w14:textId="77777777">
        <w:trPr>
          <w:trHeight w:val="6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C485A6" w14:textId="77777777" w:rsidR="004700DA" w:rsidRDefault="00000000">
            <w:pPr>
              <w:pStyle w:val="Body"/>
              <w:jc w:val="center"/>
            </w:pPr>
            <w:r>
              <w:rPr>
                <w:b/>
                <w:bCs/>
              </w:rPr>
              <w:t>9</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334821D9" w14:textId="77777777" w:rsidR="004700DA" w:rsidRDefault="00000000">
            <w:pPr>
              <w:pStyle w:val="Body"/>
              <w:jc w:val="center"/>
            </w:pPr>
            <w:r>
              <w:t>5.1-5.6</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714754ED" w14:textId="77777777" w:rsidR="004700DA" w:rsidRDefault="00000000">
            <w:pPr>
              <w:pStyle w:val="Body"/>
              <w:jc w:val="center"/>
            </w:pPr>
            <w:r>
              <w:t>Bernoulli, binomial, hypergeometric, Poisson and negative binomial, normal distributions</w:t>
            </w:r>
          </w:p>
        </w:tc>
      </w:tr>
      <w:tr w:rsidR="004700DA" w14:paraId="2AB29DA9"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721C48C2" w14:textId="77777777" w:rsidR="004700DA" w:rsidRDefault="00000000">
            <w:pPr>
              <w:pStyle w:val="Body"/>
              <w:jc w:val="center"/>
            </w:pPr>
            <w:r>
              <w:rPr>
                <w:b/>
                <w:bCs/>
              </w:rPr>
              <w:t>10</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422033B6" w14:textId="77777777" w:rsidR="004700DA" w:rsidRDefault="00000000">
            <w:pPr>
              <w:pStyle w:val="Body"/>
              <w:jc w:val="center"/>
            </w:pPr>
            <w:r>
              <w:t>5.6-5.10</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686CA2E8" w14:textId="77777777" w:rsidR="004700DA" w:rsidRDefault="00000000">
            <w:pPr>
              <w:pStyle w:val="Body"/>
              <w:jc w:val="center"/>
            </w:pPr>
            <w:r>
              <w:t xml:space="preserve">Normal, gamma, beta, multinomial and multivariate normal distributions </w:t>
            </w:r>
          </w:p>
        </w:tc>
      </w:tr>
      <w:tr w:rsidR="004700DA" w14:paraId="3E8254E0" w14:textId="77777777">
        <w:trPr>
          <w:trHeight w:val="3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572E25" w14:textId="77777777" w:rsidR="004700DA" w:rsidRDefault="00000000">
            <w:pPr>
              <w:pStyle w:val="Body"/>
              <w:jc w:val="center"/>
            </w:pPr>
            <w:r>
              <w:rPr>
                <w:b/>
                <w:bCs/>
              </w:rPr>
              <w:t>11</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2891FB70" w14:textId="77777777" w:rsidR="004700DA" w:rsidRDefault="00000000">
            <w:pPr>
              <w:pStyle w:val="Body"/>
              <w:jc w:val="center"/>
            </w:pPr>
            <w:r>
              <w:t>6.1-6.4</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0367C1CC" w14:textId="77777777" w:rsidR="004700DA" w:rsidRDefault="00000000">
            <w:pPr>
              <w:pStyle w:val="Body"/>
              <w:jc w:val="center"/>
            </w:pPr>
            <w:r>
              <w:t>Law of large numbers, central limit theorem, sampling distributions</w:t>
            </w:r>
          </w:p>
        </w:tc>
      </w:tr>
      <w:tr w:rsidR="004700DA" w14:paraId="7AC12CA0"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28FEDDD5" w14:textId="77777777" w:rsidR="004700DA" w:rsidRDefault="00000000">
            <w:pPr>
              <w:pStyle w:val="Body"/>
              <w:jc w:val="center"/>
            </w:pPr>
            <w:r>
              <w:rPr>
                <w:b/>
                <w:bCs/>
              </w:rPr>
              <w:t>12</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549100A8" w14:textId="77777777" w:rsidR="004700DA" w:rsidRDefault="00000000">
            <w:pPr>
              <w:pStyle w:val="Body"/>
              <w:jc w:val="center"/>
            </w:pPr>
            <w:r>
              <w:t>7.1, 7.5-7.6</w:t>
            </w:r>
          </w:p>
          <w:p w14:paraId="59D3036C" w14:textId="77777777" w:rsidR="004700DA" w:rsidRDefault="00000000">
            <w:pPr>
              <w:pStyle w:val="Body"/>
              <w:jc w:val="center"/>
            </w:pPr>
            <w:r>
              <w:rPr>
                <w:b/>
                <w:bCs/>
              </w:rPr>
              <w:t>Midterm 2</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0F3730A3" w14:textId="77777777" w:rsidR="004700DA" w:rsidRDefault="00000000">
            <w:pPr>
              <w:pStyle w:val="Body"/>
              <w:jc w:val="center"/>
            </w:pPr>
            <w:r>
              <w:t>Statistical inference, maximum likelihood</w:t>
            </w:r>
          </w:p>
          <w:p w14:paraId="53518DFE" w14:textId="77777777" w:rsidR="004700DA" w:rsidRDefault="00000000">
            <w:pPr>
              <w:pStyle w:val="Body"/>
              <w:jc w:val="center"/>
            </w:pPr>
            <w:r>
              <w:rPr>
                <w:b/>
                <w:bCs/>
              </w:rPr>
              <w:t>Midterm 2 on Wednesday</w:t>
            </w:r>
          </w:p>
        </w:tc>
      </w:tr>
      <w:tr w:rsidR="004700DA" w14:paraId="6F53E620" w14:textId="77777777">
        <w:trPr>
          <w:trHeight w:val="3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D9F0C8" w14:textId="77777777" w:rsidR="004700DA" w:rsidRDefault="00000000">
            <w:pPr>
              <w:pStyle w:val="Body"/>
              <w:jc w:val="center"/>
            </w:pPr>
            <w:r>
              <w:rPr>
                <w:b/>
                <w:bCs/>
              </w:rPr>
              <w:t>13</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46F70FD5" w14:textId="77777777" w:rsidR="004700DA" w:rsidRDefault="00000000">
            <w:pPr>
              <w:pStyle w:val="Body"/>
              <w:jc w:val="center"/>
            </w:pPr>
            <w:r>
              <w:t>7.2-7.4</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0F273CCB" w14:textId="77777777" w:rsidR="004700DA" w:rsidRDefault="00000000">
            <w:pPr>
              <w:pStyle w:val="Body"/>
              <w:jc w:val="center"/>
            </w:pPr>
            <w:r>
              <w:t>Veteran’s Day (no class Mon), Bayesian estimation</w:t>
            </w:r>
          </w:p>
        </w:tc>
      </w:tr>
      <w:tr w:rsidR="004700DA" w14:paraId="60621DA4" w14:textId="77777777">
        <w:trPr>
          <w:trHeight w:val="600"/>
          <w:jc w:val="center"/>
        </w:trPr>
        <w:tc>
          <w:tcPr>
            <w:tcW w:w="927" w:type="dxa"/>
            <w:tcBorders>
              <w:top w:val="single" w:sz="4" w:space="0" w:color="000000"/>
              <w:left w:val="single" w:sz="4" w:space="0" w:color="000000"/>
              <w:bottom w:val="single" w:sz="4" w:space="0" w:color="A5A5A5"/>
              <w:right w:val="single" w:sz="4" w:space="0" w:color="000000"/>
            </w:tcBorders>
            <w:shd w:val="clear" w:color="auto" w:fill="FFFFFF"/>
            <w:tcMar>
              <w:top w:w="80" w:type="dxa"/>
              <w:left w:w="80" w:type="dxa"/>
              <w:bottom w:w="80" w:type="dxa"/>
              <w:right w:w="80" w:type="dxa"/>
            </w:tcMar>
          </w:tcPr>
          <w:p w14:paraId="00B0442D" w14:textId="77777777" w:rsidR="004700DA" w:rsidRDefault="00000000">
            <w:pPr>
              <w:pStyle w:val="Body"/>
              <w:jc w:val="center"/>
            </w:pPr>
            <w:r>
              <w:rPr>
                <w:b/>
                <w:bCs/>
              </w:rPr>
              <w:t>14</w:t>
            </w:r>
          </w:p>
        </w:tc>
        <w:tc>
          <w:tcPr>
            <w:tcW w:w="1678"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05343111" w14:textId="77777777" w:rsidR="004700DA" w:rsidRDefault="00000000">
            <w:pPr>
              <w:pStyle w:val="Body"/>
              <w:jc w:val="center"/>
            </w:pPr>
            <w:r>
              <w:t>8.1-8.7</w:t>
            </w:r>
          </w:p>
        </w:tc>
        <w:tc>
          <w:tcPr>
            <w:tcW w:w="6745" w:type="dxa"/>
            <w:tcBorders>
              <w:top w:val="single" w:sz="4" w:space="0" w:color="000000"/>
              <w:left w:val="single" w:sz="4" w:space="0" w:color="000000"/>
              <w:bottom w:val="single" w:sz="4" w:space="0" w:color="A5A5A5"/>
              <w:right w:val="single" w:sz="4" w:space="0" w:color="000000"/>
            </w:tcBorders>
            <w:tcMar>
              <w:top w:w="80" w:type="dxa"/>
              <w:left w:w="80" w:type="dxa"/>
              <w:bottom w:w="80" w:type="dxa"/>
              <w:right w:w="80" w:type="dxa"/>
            </w:tcMar>
          </w:tcPr>
          <w:p w14:paraId="3E4B0DED" w14:textId="77777777" w:rsidR="004700DA" w:rsidRDefault="00000000">
            <w:pPr>
              <w:pStyle w:val="Body"/>
              <w:jc w:val="center"/>
            </w:pPr>
            <w:r>
              <w:t>Sampling distributions, Chi-squared distribution, t distribution, confidence intervals, unbiased estimation</w:t>
            </w:r>
          </w:p>
        </w:tc>
      </w:tr>
      <w:tr w:rsidR="004700DA" w14:paraId="30850C43" w14:textId="77777777">
        <w:trPr>
          <w:trHeight w:val="600"/>
          <w:jc w:val="center"/>
        </w:trPr>
        <w:tc>
          <w:tcPr>
            <w:tcW w:w="927" w:type="dxa"/>
            <w:tcBorders>
              <w:top w:val="single" w:sz="4" w:space="0" w:color="A5A5A5"/>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180B53" w14:textId="77777777" w:rsidR="004700DA" w:rsidRDefault="00000000">
            <w:pPr>
              <w:pStyle w:val="Body"/>
              <w:jc w:val="center"/>
            </w:pPr>
            <w:r>
              <w:rPr>
                <w:b/>
                <w:bCs/>
              </w:rPr>
              <w:t>15</w:t>
            </w:r>
          </w:p>
        </w:tc>
        <w:tc>
          <w:tcPr>
            <w:tcW w:w="1678"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48773476" w14:textId="77777777" w:rsidR="004700DA" w:rsidRDefault="00000000">
            <w:pPr>
              <w:pStyle w:val="Body"/>
              <w:jc w:val="center"/>
            </w:pPr>
            <w:r>
              <w:t>9.1-9.2</w:t>
            </w:r>
          </w:p>
        </w:tc>
        <w:tc>
          <w:tcPr>
            <w:tcW w:w="6745" w:type="dxa"/>
            <w:tcBorders>
              <w:top w:val="single" w:sz="4" w:space="0" w:color="A5A5A5"/>
              <w:left w:val="single" w:sz="4" w:space="0" w:color="000000"/>
              <w:bottom w:val="single" w:sz="4" w:space="0" w:color="000000"/>
              <w:right w:val="single" w:sz="4" w:space="0" w:color="000000"/>
            </w:tcBorders>
            <w:tcMar>
              <w:top w:w="80" w:type="dxa"/>
              <w:left w:w="80" w:type="dxa"/>
              <w:bottom w:w="80" w:type="dxa"/>
              <w:right w:w="80" w:type="dxa"/>
            </w:tcMar>
          </w:tcPr>
          <w:p w14:paraId="20246D62" w14:textId="77777777" w:rsidR="004700DA" w:rsidRDefault="00000000">
            <w:pPr>
              <w:pStyle w:val="Body"/>
              <w:jc w:val="center"/>
            </w:pPr>
            <w:r>
              <w:t>Intro to hypothesis testing, simple hypotheses, Thanksgiving Break (no classes Wed-Fri)</w:t>
            </w:r>
          </w:p>
        </w:tc>
      </w:tr>
      <w:tr w:rsidR="004700DA" w14:paraId="428ABE9A" w14:textId="77777777">
        <w:trPr>
          <w:trHeight w:val="600"/>
          <w:jc w:val="center"/>
        </w:trPr>
        <w:tc>
          <w:tcPr>
            <w:tcW w:w="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344100" w14:textId="77777777" w:rsidR="004700DA" w:rsidRDefault="00000000">
            <w:pPr>
              <w:pStyle w:val="Body"/>
              <w:jc w:val="center"/>
            </w:pPr>
            <w:r>
              <w:rPr>
                <w:b/>
                <w:bCs/>
              </w:rPr>
              <w:t>16</w:t>
            </w:r>
          </w:p>
        </w:tc>
        <w:tc>
          <w:tcPr>
            <w:tcW w:w="1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AE94F6" w14:textId="77777777" w:rsidR="004700DA" w:rsidRDefault="00000000">
            <w:pPr>
              <w:pStyle w:val="Body"/>
              <w:jc w:val="center"/>
            </w:pPr>
            <w:r>
              <w:t>9.4-9.6</w:t>
            </w:r>
          </w:p>
        </w:tc>
        <w:tc>
          <w:tcPr>
            <w:tcW w:w="67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573DD" w14:textId="77777777" w:rsidR="004700DA" w:rsidRDefault="00000000">
            <w:pPr>
              <w:pStyle w:val="Body"/>
              <w:jc w:val="center"/>
            </w:pPr>
            <w:r>
              <w:t>t-tests, comparing two means, course summary &amp; review as time allows</w:t>
            </w:r>
          </w:p>
        </w:tc>
      </w:tr>
    </w:tbl>
    <w:p w14:paraId="5FBEE133" w14:textId="77777777" w:rsidR="004700DA" w:rsidRDefault="004700DA">
      <w:pPr>
        <w:pStyle w:val="Heading2"/>
        <w:widowControl w:val="0"/>
        <w:jc w:val="center"/>
        <w:rPr>
          <w:sz w:val="24"/>
          <w:szCs w:val="24"/>
        </w:rPr>
      </w:pPr>
    </w:p>
    <w:p w14:paraId="38D257C4" w14:textId="77777777" w:rsidR="004700DA" w:rsidRDefault="00000000">
      <w:pPr>
        <w:pStyle w:val="Heading"/>
      </w:pPr>
      <w:r>
        <w:t>Other course policies</w:t>
      </w:r>
    </w:p>
    <w:p w14:paraId="787DC5CD" w14:textId="77777777" w:rsidR="004700DA" w:rsidRPr="009A6B83" w:rsidRDefault="00000000">
      <w:pPr>
        <w:pStyle w:val="Heading2"/>
        <w:rPr>
          <w:sz w:val="40"/>
          <w:szCs w:val="40"/>
        </w:rPr>
      </w:pPr>
      <w:bookmarkStart w:id="0" w:name="OLE_LINK3"/>
      <w:r w:rsidRPr="009A6B83">
        <w:rPr>
          <w:sz w:val="40"/>
          <w:szCs w:val="40"/>
        </w:rPr>
        <w:t>C</w:t>
      </w:r>
      <w:bookmarkStart w:id="1" w:name="OLE_LINK4"/>
      <w:bookmarkEnd w:id="0"/>
      <w:r w:rsidRPr="009A6B83">
        <w:rPr>
          <w:sz w:val="40"/>
          <w:szCs w:val="40"/>
        </w:rPr>
        <w:t>o</w:t>
      </w:r>
      <w:bookmarkStart w:id="2" w:name="OLE_LINK5"/>
      <w:bookmarkEnd w:id="1"/>
      <w:proofErr w:type="spellStart"/>
      <w:r w:rsidRPr="009A6B83">
        <w:rPr>
          <w:sz w:val="40"/>
          <w:szCs w:val="40"/>
          <w:lang w:val="en-US"/>
        </w:rPr>
        <w:t>pyright</w:t>
      </w:r>
      <w:proofErr w:type="spellEnd"/>
      <w:r w:rsidRPr="009A6B83">
        <w:rPr>
          <w:sz w:val="40"/>
          <w:szCs w:val="40"/>
          <w:lang w:val="en-US"/>
        </w:rPr>
        <w:t xml:space="preserve"> disclaimer</w:t>
      </w:r>
    </w:p>
    <w:p w14:paraId="0C1A543E" w14:textId="77777777" w:rsidR="004700DA" w:rsidRPr="009A6B83" w:rsidRDefault="00000000">
      <w:pPr>
        <w:pStyle w:val="Body"/>
        <w:rPr>
          <w:sz w:val="32"/>
          <w:szCs w:val="32"/>
        </w:rPr>
      </w:pPr>
      <w:r w:rsidRPr="009A6B83">
        <w:rPr>
          <w:sz w:val="32"/>
          <w:szCs w:val="32"/>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691E9148" w14:textId="77777777" w:rsidR="004700DA" w:rsidRPr="009A6B83" w:rsidRDefault="004700DA">
      <w:pPr>
        <w:pStyle w:val="Body"/>
        <w:rPr>
          <w:sz w:val="32"/>
          <w:szCs w:val="32"/>
        </w:rPr>
      </w:pPr>
    </w:p>
    <w:p w14:paraId="54B8714A" w14:textId="77777777" w:rsidR="004700DA" w:rsidRPr="009A6B83" w:rsidRDefault="00000000">
      <w:pPr>
        <w:pStyle w:val="Body"/>
        <w:rPr>
          <w:sz w:val="32"/>
          <w:szCs w:val="32"/>
        </w:rPr>
      </w:pPr>
      <w:r w:rsidRPr="009A6B83">
        <w:rPr>
          <w:sz w:val="32"/>
          <w:szCs w:val="32"/>
        </w:rPr>
        <w:t xml:space="preserve">Please </w:t>
      </w:r>
      <w:r w:rsidRPr="009A6B83">
        <w:rPr>
          <w:b/>
          <w:bCs/>
          <w:sz w:val="32"/>
          <w:szCs w:val="32"/>
        </w:rPr>
        <w:t>do not disseminate any course materials, including any lecture videos, assignments, and solutions</w:t>
      </w:r>
      <w:r w:rsidRPr="009A6B83">
        <w:rPr>
          <w:sz w:val="32"/>
          <w:szCs w:val="32"/>
        </w:rPr>
        <w:t xml:space="preserve"> outside of the course.</w:t>
      </w:r>
    </w:p>
    <w:p w14:paraId="42DF0092" w14:textId="77777777" w:rsidR="004700DA" w:rsidRDefault="004700DA">
      <w:pPr>
        <w:pStyle w:val="Body"/>
      </w:pPr>
    </w:p>
    <w:p w14:paraId="0025AEF8" w14:textId="77777777" w:rsidR="004700DA" w:rsidRPr="009A6B83" w:rsidRDefault="00000000">
      <w:pPr>
        <w:pStyle w:val="Heading2"/>
        <w:rPr>
          <w:rFonts w:ascii="Times New Roman" w:eastAsia="Times New Roman" w:hAnsi="Times New Roman" w:cs="Times New Roman"/>
          <w:sz w:val="40"/>
          <w:szCs w:val="40"/>
        </w:rPr>
      </w:pPr>
      <w:r w:rsidRPr="009A6B83">
        <w:rPr>
          <w:sz w:val="40"/>
          <w:szCs w:val="40"/>
          <w:lang w:val="en-US"/>
        </w:rPr>
        <w:t>Academic integrity poli</w:t>
      </w:r>
      <w:bookmarkEnd w:id="2"/>
      <w:proofErr w:type="spellStart"/>
      <w:r w:rsidRPr="009A6B83">
        <w:rPr>
          <w:sz w:val="40"/>
          <w:szCs w:val="40"/>
        </w:rPr>
        <w:t>cy</w:t>
      </w:r>
      <w:proofErr w:type="spellEnd"/>
    </w:p>
    <w:p w14:paraId="1011000D"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Academic integrity is essential to maintaining an environment that fosters excellence in teaching, research, and other educational and scholarly activities. Thus, The Ohio State University and the </w:t>
      </w:r>
      <w:hyperlink r:id="rId8" w:history="1">
        <w:r w:rsidRPr="009A6B83">
          <w:rPr>
            <w:rStyle w:val="Hyperlink"/>
            <w:rFonts w:ascii="inherit" w:hAnsi="inherit"/>
            <w:color w:val="BA0C2F"/>
            <w:sz w:val="32"/>
            <w:szCs w:val="32"/>
          </w:rPr>
          <w:t>Committee on Academic Misconduct</w:t>
        </w:r>
      </w:hyperlink>
      <w:r w:rsidRPr="009A6B83">
        <w:rPr>
          <w:rFonts w:ascii="Georgia" w:hAnsi="Georgia"/>
          <w:color w:val="212325"/>
          <w:sz w:val="32"/>
          <w:szCs w:val="32"/>
        </w:rPr>
        <w:t> (COAM) expect that all students have read and understand the University's </w:t>
      </w:r>
      <w:hyperlink r:id="rId9" w:history="1">
        <w:r w:rsidRPr="009A6B83">
          <w:rPr>
            <w:rStyle w:val="Hyperlink"/>
            <w:rFonts w:ascii="inherit" w:hAnsi="inherit"/>
            <w:color w:val="BA0C2F"/>
            <w:sz w:val="32"/>
            <w:szCs w:val="32"/>
          </w:rPr>
          <w:t>Code of Student Conduct</w:t>
        </w:r>
      </w:hyperlink>
      <w:r w:rsidRPr="009A6B83">
        <w:rPr>
          <w:rFonts w:ascii="Georgia" w:hAnsi="Georgia"/>
          <w:color w:val="212325"/>
          <w:sz w:val="32"/>
          <w:szCs w:val="32"/>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773BA0BA"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 xml:space="preserve">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w:t>
      </w:r>
      <w:r w:rsidRPr="009A6B83">
        <w:rPr>
          <w:rFonts w:ascii="Georgia" w:hAnsi="Georgia"/>
          <w:color w:val="212325"/>
          <w:sz w:val="32"/>
          <w:szCs w:val="32"/>
        </w:rPr>
        <w:lastRenderedPageBreak/>
        <w:t>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4591EDA4"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0A567FFA"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If students have questions about the above policy or what constitutes academic misconduct in this course, they should contact the instructor.</w:t>
      </w:r>
    </w:p>
    <w:p w14:paraId="238F9FEC" w14:textId="77777777" w:rsidR="004700DA" w:rsidRPr="009A6B83" w:rsidRDefault="00000000">
      <w:pPr>
        <w:pStyle w:val="Heading2"/>
        <w:rPr>
          <w:sz w:val="40"/>
          <w:szCs w:val="40"/>
        </w:rPr>
      </w:pPr>
      <w:r w:rsidRPr="009A6B83">
        <w:rPr>
          <w:sz w:val="40"/>
          <w:szCs w:val="40"/>
          <w:lang w:val="en-US"/>
        </w:rPr>
        <w:t>Statement on intellectual diversity</w:t>
      </w:r>
    </w:p>
    <w:p w14:paraId="57F6E824" w14:textId="77777777" w:rsidR="004700DA" w:rsidRPr="009A6B83" w:rsidRDefault="00000000">
      <w:pPr>
        <w:pStyle w:val="Body"/>
        <w:rPr>
          <w:sz w:val="32"/>
          <w:szCs w:val="32"/>
        </w:rPr>
      </w:pPr>
      <w:r w:rsidRPr="009A6B83">
        <w:rPr>
          <w:sz w:val="32"/>
          <w:szCs w:val="32"/>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4196E697" w14:textId="77777777" w:rsidR="004700DA" w:rsidRDefault="004700DA">
      <w:pPr>
        <w:pStyle w:val="Body"/>
      </w:pPr>
    </w:p>
    <w:p w14:paraId="551910F0" w14:textId="77777777" w:rsidR="004700DA" w:rsidRPr="009A6B83" w:rsidRDefault="00000000">
      <w:pPr>
        <w:pStyle w:val="Heading2"/>
        <w:rPr>
          <w:sz w:val="40"/>
          <w:szCs w:val="40"/>
        </w:rPr>
      </w:pPr>
      <w:r w:rsidRPr="009A6B83">
        <w:rPr>
          <w:sz w:val="40"/>
          <w:szCs w:val="40"/>
          <w:lang w:val="en-US"/>
        </w:rPr>
        <w:lastRenderedPageBreak/>
        <w:t>Religious accommodation</w:t>
      </w:r>
    </w:p>
    <w:p w14:paraId="4EB3514C"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5042A8E0"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 xml:space="preserve">With sufficient notice, instructors will provide students with reasonable alternative accommodations </w:t>
      </w:r>
      <w:proofErr w:type="gramStart"/>
      <w:r w:rsidRPr="009A6B83">
        <w:rPr>
          <w:rFonts w:ascii="Georgia" w:hAnsi="Georgia"/>
          <w:color w:val="212325"/>
          <w:sz w:val="32"/>
          <w:szCs w:val="32"/>
        </w:rPr>
        <w:t>with regard to</w:t>
      </w:r>
      <w:proofErr w:type="gramEnd"/>
      <w:r w:rsidRPr="009A6B83">
        <w:rPr>
          <w:rFonts w:ascii="Georgia" w:hAnsi="Georgia"/>
          <w:color w:val="212325"/>
          <w:sz w:val="32"/>
          <w:szCs w:val="32"/>
        </w:rPr>
        <w:t xml:space="preserve"> examinations and other academic requirements with respect to </w:t>
      </w:r>
      <w:proofErr w:type="gramStart"/>
      <w:r w:rsidRPr="009A6B83">
        <w:rPr>
          <w:rFonts w:ascii="Georgia" w:hAnsi="Georgia"/>
          <w:color w:val="212325"/>
          <w:sz w:val="32"/>
          <w:szCs w:val="32"/>
        </w:rPr>
        <w:t>students’</w:t>
      </w:r>
      <w:proofErr w:type="gramEnd"/>
      <w:r w:rsidRPr="009A6B83">
        <w:rPr>
          <w:rFonts w:ascii="Georgia" w:hAnsi="Georgia"/>
          <w:color w:val="212325"/>
          <w:sz w:val="32"/>
          <w:szCs w:val="32"/>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2855722B"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 xml:space="preserve">A student’s request for time off shall be provided if the </w:t>
      </w:r>
      <w:proofErr w:type="gramStart"/>
      <w:r w:rsidRPr="009A6B83">
        <w:rPr>
          <w:rFonts w:ascii="Georgia" w:hAnsi="Georgia"/>
          <w:color w:val="212325"/>
          <w:sz w:val="32"/>
          <w:szCs w:val="32"/>
        </w:rPr>
        <w:t>student’s</w:t>
      </w:r>
      <w:proofErr w:type="gramEnd"/>
      <w:r w:rsidRPr="009A6B83">
        <w:rPr>
          <w:rFonts w:ascii="Georgia" w:hAnsi="Georgia"/>
          <w:color w:val="212325"/>
          <w:sz w:val="32"/>
          <w:szCs w:val="32"/>
        </w:rPr>
        <w:t xml:space="preserve"> sincerely held religious belief or practice severely affects the student’s ability to take an exam or meet an academic requirement </w:t>
      </w:r>
      <w:r w:rsidRPr="009A6B83">
        <w:rPr>
          <w:rStyle w:val="Strong"/>
          <w:rFonts w:ascii="Georgia" w:hAnsi="Georgia"/>
          <w:color w:val="212325"/>
          <w:sz w:val="32"/>
          <w:szCs w:val="32"/>
        </w:rPr>
        <w:t>and</w:t>
      </w:r>
      <w:r w:rsidRPr="009A6B83">
        <w:rPr>
          <w:rFonts w:ascii="Georgia" w:hAnsi="Georgia"/>
          <w:color w:val="212325"/>
          <w:sz w:val="32"/>
          <w:szCs w:val="32"/>
        </w:rPr>
        <w:t xml:space="preserve">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w:t>
      </w:r>
      <w:r w:rsidRPr="009A6B83">
        <w:rPr>
          <w:rFonts w:ascii="Georgia" w:hAnsi="Georgia"/>
          <w:color w:val="212325"/>
          <w:sz w:val="32"/>
          <w:szCs w:val="32"/>
        </w:rPr>
        <w:lastRenderedPageBreak/>
        <w:t>reasonable accommodation if a request is made outside the notice period. A student may not be penalized for an absence approved under this policy.</w:t>
      </w:r>
    </w:p>
    <w:p w14:paraId="71099876" w14:textId="77777777" w:rsidR="00156A21" w:rsidRDefault="00156A21" w:rsidP="00156A21">
      <w:pPr>
        <w:pStyle w:val="NormalWeb"/>
        <w:shd w:val="clear" w:color="auto" w:fill="FFFFFF"/>
        <w:spacing w:before="0" w:beforeAutospacing="0" w:after="240" w:afterAutospacing="0"/>
        <w:rPr>
          <w:rFonts w:ascii="Georgia" w:hAnsi="Georgia"/>
          <w:color w:val="212325"/>
        </w:rPr>
      </w:pPr>
      <w:r w:rsidRPr="009A6B83">
        <w:rPr>
          <w:rFonts w:ascii="Georgia" w:hAnsi="Georgia"/>
          <w:color w:val="212325"/>
          <w:sz w:val="32"/>
          <w:szCs w:val="32"/>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0" w:history="1">
        <w:r w:rsidRPr="009A6B83">
          <w:rPr>
            <w:rStyle w:val="Hyperlink"/>
            <w:rFonts w:ascii="inherit" w:hAnsi="inherit"/>
            <w:color w:val="BA0C2F"/>
            <w:sz w:val="32"/>
            <w:szCs w:val="32"/>
          </w:rPr>
          <w:t>Civil Rights Compliance Office</w:t>
        </w:r>
      </w:hyperlink>
      <w:r w:rsidRPr="009A6B83">
        <w:rPr>
          <w:rFonts w:ascii="Georgia" w:hAnsi="Georgia"/>
          <w:color w:val="212325"/>
          <w:sz w:val="32"/>
          <w:szCs w:val="32"/>
        </w:rPr>
        <w:t>.</w:t>
      </w:r>
    </w:p>
    <w:p w14:paraId="18AF8971" w14:textId="77777777" w:rsidR="004700DA" w:rsidRPr="009A6B83" w:rsidRDefault="00000000">
      <w:pPr>
        <w:pStyle w:val="Heading2"/>
        <w:rPr>
          <w:sz w:val="40"/>
          <w:szCs w:val="40"/>
        </w:rPr>
      </w:pPr>
      <w:r w:rsidRPr="009A6B83">
        <w:rPr>
          <w:sz w:val="40"/>
          <w:szCs w:val="40"/>
          <w:lang w:val="en-US"/>
        </w:rPr>
        <w:t>Mental health</w:t>
      </w:r>
    </w:p>
    <w:p w14:paraId="21387A56" w14:textId="77777777" w:rsidR="004700DA" w:rsidRPr="009A6B83" w:rsidRDefault="00000000">
      <w:pPr>
        <w:pStyle w:val="Body"/>
        <w:rPr>
          <w:sz w:val="32"/>
          <w:szCs w:val="32"/>
        </w:rPr>
      </w:pPr>
      <w:r w:rsidRPr="009A6B83">
        <w:rPr>
          <w:sz w:val="32"/>
          <w:szCs w:val="32"/>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0EB9F742" w14:textId="77777777" w:rsidR="004700DA" w:rsidRPr="009A6B83" w:rsidRDefault="004700DA">
      <w:pPr>
        <w:pStyle w:val="Body"/>
        <w:rPr>
          <w:sz w:val="32"/>
          <w:szCs w:val="32"/>
        </w:rPr>
      </w:pPr>
    </w:p>
    <w:p w14:paraId="0F4F536E" w14:textId="77777777" w:rsidR="004700DA" w:rsidRPr="009A6B83" w:rsidRDefault="00000000">
      <w:pPr>
        <w:pStyle w:val="Body"/>
        <w:rPr>
          <w:rStyle w:val="Hyperlink0"/>
          <w:color w:val="000000"/>
          <w:sz w:val="32"/>
          <w:szCs w:val="32"/>
          <w:u w:val="none" w:color="000000"/>
        </w:rPr>
      </w:pPr>
      <w:r w:rsidRPr="009A6B83">
        <w:rPr>
          <w:sz w:val="32"/>
          <w:szCs w:val="32"/>
        </w:rPr>
        <w:t>If you or someone you know are suffering from any of the aforementioned conditions, you can learn more about the broad range of confidential mental health services available on campus via the Office of Student Life's Counseling and Consultation Service (CCS) by visiting</w:t>
      </w:r>
      <w:r w:rsidRPr="009A6B83">
        <w:rPr>
          <w:color w:val="333333"/>
          <w:spacing w:val="8"/>
          <w:sz w:val="32"/>
          <w:szCs w:val="32"/>
          <w:u w:color="333333"/>
        </w:rPr>
        <w:t> </w:t>
      </w:r>
      <w:hyperlink r:id="rId11" w:history="1">
        <w:r w:rsidR="004700DA" w:rsidRPr="009A6B83">
          <w:rPr>
            <w:rStyle w:val="Hyperlink2"/>
            <w:rFonts w:eastAsia="Arial Unicode MS"/>
            <w:sz w:val="32"/>
            <w:szCs w:val="32"/>
          </w:rPr>
          <w:t>ccs.osu.edu</w:t>
        </w:r>
      </w:hyperlink>
      <w:r w:rsidRPr="009A6B83">
        <w:rPr>
          <w:color w:val="333333"/>
          <w:spacing w:val="8"/>
          <w:sz w:val="32"/>
          <w:szCs w:val="32"/>
          <w:u w:color="333333"/>
        </w:rPr>
        <w:t> </w:t>
      </w:r>
      <w:r w:rsidRPr="009A6B83">
        <w:rPr>
          <w:sz w:val="32"/>
          <w:szCs w:val="32"/>
        </w:rPr>
        <w:t xml:space="preserve">or calling 614-292-5766. CCS is located on the 4th floor of the Younkin Success Center and 10th floor of Lincoln Tower. You can reach an on-call counselor when CCS is closed at 614-292-5766 and 24-hour emergency help is also available through the 24/7 </w:t>
      </w:r>
      <w:r w:rsidRPr="009A6B83">
        <w:rPr>
          <w:b/>
          <w:bCs/>
          <w:sz w:val="32"/>
          <w:szCs w:val="32"/>
        </w:rPr>
        <w:t>by dialing 988 to reach the Suicide and Crisis Lifeline</w:t>
      </w:r>
      <w:r w:rsidRPr="009A6B83">
        <w:rPr>
          <w:sz w:val="32"/>
          <w:szCs w:val="32"/>
        </w:rPr>
        <w:t>.</w:t>
      </w:r>
    </w:p>
    <w:p w14:paraId="71405C21" w14:textId="77777777" w:rsidR="004700DA" w:rsidRPr="009A6B83" w:rsidRDefault="00000000">
      <w:pPr>
        <w:pStyle w:val="Heading2"/>
        <w:rPr>
          <w:sz w:val="40"/>
          <w:szCs w:val="40"/>
          <w:lang w:val="en-US"/>
        </w:rPr>
      </w:pPr>
      <w:r w:rsidRPr="009A6B83">
        <w:rPr>
          <w:sz w:val="40"/>
          <w:szCs w:val="40"/>
          <w:lang w:val="en-US"/>
        </w:rPr>
        <w:t>Accessibility accommodations for students with disabilities</w:t>
      </w:r>
    </w:p>
    <w:p w14:paraId="47285DCC" w14:textId="77777777" w:rsidR="00156A21" w:rsidRDefault="00156A21" w:rsidP="00156A21">
      <w:pPr>
        <w:pStyle w:val="Body"/>
      </w:pPr>
    </w:p>
    <w:p w14:paraId="52FF58FF"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lastRenderedPageBreak/>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accommodations, students may be asked to register with Student Life Disability Services (see below for campus-specific contact information). After registration, students should </w:t>
      </w:r>
      <w:proofErr w:type="gramStart"/>
      <w:r w:rsidRPr="009A6B83">
        <w:rPr>
          <w:rFonts w:ascii="Georgia" w:hAnsi="Georgia"/>
          <w:color w:val="212325"/>
          <w:sz w:val="32"/>
          <w:szCs w:val="32"/>
        </w:rPr>
        <w:t>make arrangements</w:t>
      </w:r>
      <w:proofErr w:type="gramEnd"/>
      <w:r w:rsidRPr="009A6B83">
        <w:rPr>
          <w:rFonts w:ascii="Georgia" w:hAnsi="Georgia"/>
          <w:color w:val="212325"/>
          <w:sz w:val="32"/>
          <w:szCs w:val="32"/>
        </w:rPr>
        <w:t xml:space="preserve"> with their instructors as soon as possible to discuss your accommodations so that accommodations may be implemented in a timely fashion.</w:t>
      </w:r>
    </w:p>
    <w:p w14:paraId="29060541" w14:textId="77777777" w:rsidR="00156A21" w:rsidRPr="009A6B83" w:rsidRDefault="00156A21" w:rsidP="00156A21">
      <w:pPr>
        <w:pStyle w:val="NormalWeb"/>
        <w:shd w:val="clear" w:color="auto" w:fill="FFFFFF"/>
        <w:spacing w:before="0" w:beforeAutospacing="0" w:after="240" w:afterAutospacing="0"/>
        <w:rPr>
          <w:rFonts w:ascii="Georgia" w:hAnsi="Georgia"/>
          <w:color w:val="212325"/>
          <w:sz w:val="32"/>
          <w:szCs w:val="32"/>
        </w:rPr>
      </w:pPr>
      <w:r w:rsidRPr="009A6B83">
        <w:rPr>
          <w:rFonts w:ascii="Georgia" w:hAnsi="Georgia"/>
          <w:color w:val="212325"/>
          <w:sz w:val="32"/>
          <w:szCs w:val="32"/>
        </w:rPr>
        <w:t>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accommodations.</w:t>
      </w:r>
    </w:p>
    <w:p w14:paraId="4D1B4E88" w14:textId="197CC04C" w:rsidR="004700DA" w:rsidRPr="009A6B83" w:rsidRDefault="00000000">
      <w:pPr>
        <w:pStyle w:val="Heading3"/>
        <w:rPr>
          <w:sz w:val="32"/>
          <w:szCs w:val="32"/>
        </w:rPr>
      </w:pPr>
      <w:r w:rsidRPr="009A6B83">
        <w:rPr>
          <w:sz w:val="32"/>
          <w:szCs w:val="32"/>
        </w:rPr>
        <w:t xml:space="preserve">SLDS contact information: </w:t>
      </w:r>
      <w:hyperlink r:id="rId12" w:history="1">
        <w:r w:rsidR="004700DA" w:rsidRPr="009A6B83">
          <w:rPr>
            <w:rStyle w:val="Hyperlink0"/>
            <w:sz w:val="32"/>
            <w:szCs w:val="32"/>
          </w:rPr>
          <w:t>slds@osu.edu</w:t>
        </w:r>
      </w:hyperlink>
      <w:r w:rsidRPr="009A6B83">
        <w:rPr>
          <w:sz w:val="32"/>
          <w:szCs w:val="32"/>
        </w:rPr>
        <w:t xml:space="preserve">; 614-292-3307; </w:t>
      </w:r>
      <w:hyperlink r:id="rId13" w:history="1">
        <w:r w:rsidR="004700DA" w:rsidRPr="009A6B83">
          <w:rPr>
            <w:rStyle w:val="Hyperlink0"/>
            <w:sz w:val="32"/>
            <w:szCs w:val="32"/>
          </w:rPr>
          <w:t>slds.osu.edu</w:t>
        </w:r>
      </w:hyperlink>
      <w:r w:rsidRPr="009A6B83">
        <w:rPr>
          <w:sz w:val="32"/>
          <w:szCs w:val="32"/>
        </w:rPr>
        <w:t>; 098 Baker Hall, 113 W. 12th Avenue.</w:t>
      </w:r>
    </w:p>
    <w:p w14:paraId="633DB50B" w14:textId="77777777" w:rsidR="00156A21" w:rsidRPr="00156A21" w:rsidRDefault="00156A21" w:rsidP="00156A21">
      <w:pPr>
        <w:pStyle w:val="Body"/>
      </w:pPr>
    </w:p>
    <w:p w14:paraId="2BA08A81" w14:textId="77777777" w:rsidR="004700DA" w:rsidRPr="009A6B83" w:rsidRDefault="00000000">
      <w:pPr>
        <w:pStyle w:val="Heading3"/>
        <w:rPr>
          <w:sz w:val="36"/>
          <w:szCs w:val="36"/>
        </w:rPr>
      </w:pPr>
      <w:r w:rsidRPr="009A6B83">
        <w:rPr>
          <w:sz w:val="36"/>
          <w:szCs w:val="36"/>
        </w:rPr>
        <w:t>Accessibility of course technology</w:t>
      </w:r>
    </w:p>
    <w:p w14:paraId="48EE3B33" w14:textId="77777777" w:rsidR="004700DA" w:rsidRPr="009A6B83" w:rsidRDefault="00000000">
      <w:pPr>
        <w:pStyle w:val="Body"/>
        <w:rPr>
          <w:sz w:val="32"/>
          <w:szCs w:val="32"/>
        </w:rPr>
      </w:pPr>
      <w:r w:rsidRPr="009A6B83">
        <w:rPr>
          <w:sz w:val="32"/>
          <w:szCs w:val="32"/>
        </w:rPr>
        <w:t>This course requires use of Carmen (Ohio State's learning management system) and other online communication and multimedia tools. If you need additional services to use these technologies, please request accommodations with your instructor. </w:t>
      </w:r>
      <w:hyperlink r:id="rId14" w:history="1">
        <w:r w:rsidR="004700DA" w:rsidRPr="009A6B83">
          <w:rPr>
            <w:rStyle w:val="Hyperlink0"/>
            <w:sz w:val="32"/>
            <w:szCs w:val="32"/>
            <w:lang w:val="it-IT"/>
          </w:rPr>
          <w:t xml:space="preserve">Carmen (Canvas) </w:t>
        </w:r>
        <w:proofErr w:type="spellStart"/>
        <w:r w:rsidR="004700DA" w:rsidRPr="009A6B83">
          <w:rPr>
            <w:rStyle w:val="Hyperlink0"/>
            <w:sz w:val="32"/>
            <w:szCs w:val="32"/>
            <w:lang w:val="it-IT"/>
          </w:rPr>
          <w:t>accessibility</w:t>
        </w:r>
        <w:proofErr w:type="spellEnd"/>
        <w:r w:rsidR="004700DA" w:rsidRPr="009A6B83">
          <w:rPr>
            <w:rStyle w:val="Hyperlink0"/>
            <w:sz w:val="32"/>
            <w:szCs w:val="32"/>
            <w:lang w:val="it-IT"/>
          </w:rPr>
          <w:t>.</w:t>
        </w:r>
      </w:hyperlink>
    </w:p>
    <w:sectPr w:rsidR="004700DA" w:rsidRPr="009A6B8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2B79" w14:textId="77777777" w:rsidR="00B013CD" w:rsidRDefault="00B013CD">
      <w:r>
        <w:separator/>
      </w:r>
    </w:p>
  </w:endnote>
  <w:endnote w:type="continuationSeparator" w:id="0">
    <w:p w14:paraId="2F477A2F" w14:textId="77777777" w:rsidR="00B013CD" w:rsidRDefault="00B0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C725" w14:textId="77777777" w:rsidR="004700DA" w:rsidRDefault="004700D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4CB7" w14:textId="77777777" w:rsidR="004700DA" w:rsidRDefault="004700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FDAB" w14:textId="77777777" w:rsidR="00B013CD" w:rsidRDefault="00B013CD">
      <w:r>
        <w:separator/>
      </w:r>
    </w:p>
  </w:footnote>
  <w:footnote w:type="continuationSeparator" w:id="0">
    <w:p w14:paraId="205CE9BF" w14:textId="77777777" w:rsidR="00B013CD" w:rsidRDefault="00B0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4F46" w14:textId="3F8E55B7" w:rsidR="004700DA" w:rsidRDefault="00000000">
    <w:pPr>
      <w:pStyle w:val="Header"/>
      <w:jc w:val="right"/>
      <w:rPr>
        <w:rFonts w:ascii="Arial" w:hAnsi="Arial"/>
        <w:sz w:val="18"/>
        <w:szCs w:val="18"/>
      </w:rPr>
    </w:pPr>
    <w:r>
      <w:rPr>
        <w:rFonts w:ascii="Arial" w:hAnsi="Arial"/>
      </w:rPr>
      <w:fldChar w:fldCharType="begin"/>
    </w:r>
    <w:r>
      <w:rPr>
        <w:rFonts w:ascii="Arial" w:hAnsi="Arial"/>
      </w:rPr>
      <w:instrText xml:space="preserve"> PAGE </w:instrText>
    </w:r>
    <w:r>
      <w:rPr>
        <w:rFonts w:ascii="Arial" w:hAnsi="Arial"/>
      </w:rPr>
      <w:fldChar w:fldCharType="separate"/>
    </w:r>
    <w:r w:rsidR="00862064">
      <w:rPr>
        <w:rFonts w:ascii="Arial" w:hAnsi="Arial"/>
        <w:noProof/>
      </w:rPr>
      <w:t>2</w:t>
    </w:r>
    <w:r>
      <w:rPr>
        <w:rFonts w:ascii="Arial" w:hAnsi="Arial"/>
      </w:rPr>
      <w:fldChar w:fldCharType="end"/>
    </w:r>
  </w:p>
  <w:p w14:paraId="5606F237" w14:textId="77777777" w:rsidR="004700DA" w:rsidRDefault="0047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6695" w14:textId="77777777" w:rsidR="004700DA" w:rsidRDefault="00000000">
    <w:pPr>
      <w:pStyle w:val="Header"/>
      <w:jc w:val="center"/>
      <w:rPr>
        <w:rFonts w:ascii="Arial" w:hAnsi="Arial"/>
        <w:sz w:val="18"/>
        <w:szCs w:val="18"/>
      </w:rPr>
    </w:pPr>
    <w:r>
      <w:rPr>
        <w:noProof/>
      </w:rPr>
      <w:drawing>
        <wp:inline distT="0" distB="0" distL="0" distR="0" wp14:anchorId="33C4E77B" wp14:editId="23F130C1">
          <wp:extent cx="3620655" cy="1523691"/>
          <wp:effectExtent l="0" t="0" r="0" b="0"/>
          <wp:docPr id="1073741825" name="officeArt object" descr="The Ohio State University, College of Arts and Sciences Logo"/>
          <wp:cNvGraphicFramePr/>
          <a:graphic xmlns:a="http://schemas.openxmlformats.org/drawingml/2006/main">
            <a:graphicData uri="http://schemas.openxmlformats.org/drawingml/2006/picture">
              <pic:pic xmlns:pic="http://schemas.openxmlformats.org/drawingml/2006/picture">
                <pic:nvPicPr>
                  <pic:cNvPr id="1073741825" name="The Ohio State University, College of Arts and Sciences Logo" descr="The Ohio State University, College of Arts and Sciences Logo"/>
                  <pic:cNvPicPr>
                    <a:picLocks noChangeAspect="1"/>
                  </pic:cNvPicPr>
                </pic:nvPicPr>
                <pic:blipFill>
                  <a:blip r:embed="rId1"/>
                  <a:stretch>
                    <a:fillRect/>
                  </a:stretch>
                </pic:blipFill>
                <pic:spPr>
                  <a:xfrm>
                    <a:off x="0" y="0"/>
                    <a:ext cx="3620655" cy="1523691"/>
                  </a:xfrm>
                  <a:prstGeom prst="rect">
                    <a:avLst/>
                  </a:prstGeom>
                  <a:ln w="12700" cap="flat">
                    <a:noFill/>
                    <a:miter lim="400000"/>
                  </a:ln>
                  <a:effectLst/>
                </pic:spPr>
              </pic:pic>
            </a:graphicData>
          </a:graphic>
        </wp:inline>
      </w:drawing>
    </w:r>
  </w:p>
  <w:p w14:paraId="65173DEA" w14:textId="77777777" w:rsidR="004700DA" w:rsidRDefault="004700DA">
    <w:pPr>
      <w:pStyle w:val="Header"/>
      <w:rPr>
        <w:rFonts w:ascii="Arial" w:hAnsi="Arial"/>
        <w:sz w:val="18"/>
        <w:szCs w:val="18"/>
      </w:rPr>
    </w:pPr>
  </w:p>
  <w:p w14:paraId="47AF2767" w14:textId="77777777" w:rsidR="004700DA" w:rsidRDefault="0047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6FC"/>
    <w:multiLevelType w:val="hybridMultilevel"/>
    <w:tmpl w:val="DEC007FA"/>
    <w:styleLink w:val="ImportedStyle2"/>
    <w:lvl w:ilvl="0" w:tplc="6084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7C4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8E1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9C1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30C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F633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8C4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0E3B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9838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193F9A"/>
    <w:multiLevelType w:val="hybridMultilevel"/>
    <w:tmpl w:val="DEC007FA"/>
    <w:numStyleLink w:val="ImportedStyle2"/>
  </w:abstractNum>
  <w:abstractNum w:abstractNumId="2" w15:restartNumberingAfterBreak="0">
    <w:nsid w:val="39F246AA"/>
    <w:multiLevelType w:val="hybridMultilevel"/>
    <w:tmpl w:val="45762138"/>
    <w:numStyleLink w:val="Bullets"/>
  </w:abstractNum>
  <w:abstractNum w:abstractNumId="3" w15:restartNumberingAfterBreak="0">
    <w:nsid w:val="657D2E1F"/>
    <w:multiLevelType w:val="hybridMultilevel"/>
    <w:tmpl w:val="45762138"/>
    <w:styleLink w:val="Bullets"/>
    <w:lvl w:ilvl="0" w:tplc="C540C5B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8D6BAE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42475F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2C4C0A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D180FB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31662D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B2454B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B208D2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1B05FD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04744759">
    <w:abstractNumId w:val="0"/>
  </w:num>
  <w:num w:numId="2" w16cid:durableId="996110053">
    <w:abstractNumId w:val="1"/>
  </w:num>
  <w:num w:numId="3" w16cid:durableId="1601639892">
    <w:abstractNumId w:val="3"/>
  </w:num>
  <w:num w:numId="4" w16cid:durableId="619142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DA"/>
    <w:rsid w:val="00156A21"/>
    <w:rsid w:val="001D3109"/>
    <w:rsid w:val="004700DA"/>
    <w:rsid w:val="004F3780"/>
    <w:rsid w:val="0071043F"/>
    <w:rsid w:val="00862064"/>
    <w:rsid w:val="009A6B83"/>
    <w:rsid w:val="00B013CD"/>
    <w:rsid w:val="00B63CAB"/>
    <w:rsid w:val="00CB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A121"/>
  <w15:docId w15:val="{0A5333F3-9464-4F48-A08E-04692CC7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D31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360" w:after="60"/>
      <w:outlineLvl w:val="1"/>
    </w:pPr>
    <w:rPr>
      <w:rFonts w:ascii="Calibri" w:hAnsi="Calibri" w:cs="Arial Unicode MS"/>
      <w:b/>
      <w:bCs/>
      <w:color w:val="740B0E"/>
      <w:sz w:val="36"/>
      <w:szCs w:val="36"/>
      <w:u w:color="740B0E"/>
      <w:lang w:val="es-ES_tradnl"/>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Calibri" w:hAnsi="Calibri" w:cs="Arial Unicode MS"/>
      <w:b/>
      <w:bCs/>
      <w:color w:val="404040"/>
      <w:sz w:val="28"/>
      <w:szCs w:val="28"/>
      <w:u w:color="40404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cumentTitle">
    <w:name w:val="Document Title"/>
    <w:pPr>
      <w:spacing w:after="360" w:line="216" w:lineRule="auto"/>
    </w:pPr>
    <w:rPr>
      <w:rFonts w:ascii="Calibri" w:hAnsi="Calibri" w:cs="Arial Unicode MS"/>
      <w:b/>
      <w:bCs/>
      <w:caps/>
      <w:color w:val="BB0000"/>
      <w:spacing w:val="5"/>
      <w:kern w:val="28"/>
      <w:sz w:val="48"/>
      <w:szCs w:val="48"/>
      <w:u w:color="BB0000"/>
    </w:rPr>
  </w:style>
  <w:style w:type="paragraph" w:customStyle="1" w:styleId="Heading">
    <w:name w:val="Heading"/>
    <w:next w:val="Body"/>
    <w:pPr>
      <w:keepNext/>
      <w:keepLines/>
      <w:spacing w:before="480" w:after="120"/>
      <w:outlineLvl w:val="0"/>
    </w:pPr>
    <w:rPr>
      <w:rFonts w:ascii="Calibri" w:hAnsi="Calibri" w:cs="Arial Unicode MS"/>
      <w:b/>
      <w:bCs/>
      <w:color w:val="595959"/>
      <w:sz w:val="48"/>
      <w:szCs w:val="48"/>
      <w:u w:color="595959"/>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before="60" w:after="60"/>
    </w:pPr>
    <w:rPr>
      <w:rFonts w:ascii="Calibri" w:hAnsi="Calibri" w:cs="Arial Unicode MS"/>
      <w:color w:val="000000"/>
      <w:sz w:val="24"/>
      <w:szCs w:val="24"/>
      <w:u w:color="000000"/>
    </w:rPr>
  </w:style>
  <w:style w:type="numbering" w:customStyle="1" w:styleId="ImportedStyle2">
    <w:name w:val="Imported Style 2"/>
    <w:pPr>
      <w:numPr>
        <w:numId w:val="1"/>
      </w:numPr>
    </w:pPr>
  </w:style>
  <w:style w:type="paragraph" w:customStyle="1" w:styleId="TableData">
    <w:name w:val="Table Data"/>
    <w:pPr>
      <w:spacing w:before="60" w:after="120"/>
    </w:pPr>
    <w:rPr>
      <w:rFonts w:ascii="Calibri" w:hAnsi="Calibri" w:cs="Arial Unicode MS"/>
      <w:b/>
      <w:bCs/>
      <w:color w:val="000000"/>
      <w:sz w:val="24"/>
      <w:szCs w:val="24"/>
      <w:u w:color="000000"/>
    </w:rPr>
  </w:style>
  <w:style w:type="numbering" w:customStyle="1" w:styleId="Bullets">
    <w:name w:val="Bullets"/>
    <w:pPr>
      <w:numPr>
        <w:numId w:val="3"/>
      </w:numPr>
    </w:p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Hyperlink0"/>
    <w:rPr>
      <w:rFonts w:ascii="Times New Roman" w:eastAsia="Times New Roman" w:hAnsi="Times New Roman" w:cs="Times New Roman"/>
      <w:outline w:val="0"/>
      <w:color w:val="0563C1"/>
      <w:sz w:val="24"/>
      <w:szCs w:val="24"/>
      <w:u w:val="single" w:color="0563C1"/>
    </w:rPr>
  </w:style>
  <w:style w:type="character" w:customStyle="1" w:styleId="Hyperlink2">
    <w:name w:val="Hyperlink.2"/>
    <w:basedOn w:val="Hyperlink0"/>
    <w:rPr>
      <w:rFonts w:ascii="Times New Roman" w:eastAsia="Times New Roman" w:hAnsi="Times New Roman" w:cs="Times New Roman"/>
      <w:b/>
      <w:bCs/>
      <w:outline w:val="0"/>
      <w:color w:val="BB0000"/>
      <w:spacing w:val="-1"/>
      <w:u w:val="none" w:color="BB0000"/>
    </w:rPr>
  </w:style>
  <w:style w:type="paragraph" w:customStyle="1" w:styleId="p1">
    <w:name w:val="p1"/>
    <w:basedOn w:val="Normal"/>
    <w:rsid w:val="008620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DefaultParagraphFont"/>
    <w:rsid w:val="00862064"/>
  </w:style>
  <w:style w:type="paragraph" w:customStyle="1" w:styleId="p2">
    <w:name w:val="p2"/>
    <w:basedOn w:val="Normal"/>
    <w:rsid w:val="008620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156A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56A21"/>
    <w:rPr>
      <w:b/>
      <w:bCs/>
    </w:rPr>
  </w:style>
  <w:style w:type="character" w:styleId="UnresolvedMention">
    <w:name w:val="Unresolved Mention"/>
    <w:basedOn w:val="DefaultParagraphFont"/>
    <w:uiPriority w:val="99"/>
    <w:semiHidden/>
    <w:unhideWhenUsed/>
    <w:rsid w:val="001D3109"/>
    <w:rPr>
      <w:color w:val="605E5C"/>
      <w:shd w:val="clear" w:color="auto" w:fill="E1DFDD"/>
    </w:rPr>
  </w:style>
  <w:style w:type="character" w:customStyle="1" w:styleId="Heading1Char">
    <w:name w:val="Heading 1 Char"/>
    <w:basedOn w:val="DefaultParagraphFont"/>
    <w:link w:val="Heading1"/>
    <w:uiPriority w:val="9"/>
    <w:rsid w:val="001D31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aa.osu.edu/resources/policies-and-procedures/committee-academic-misconduct" TargetMode="External"/><Relationship Id="rId13" Type="http://schemas.openxmlformats.org/officeDocument/2006/relationships/hyperlink" Target="http://slds.osu.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nandy.15@osu.edu" TargetMode="External"/><Relationship Id="rId12" Type="http://schemas.openxmlformats.org/officeDocument/2006/relationships/hyperlink" Target="mailto:slds@osu.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s.osu.ed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equity@o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ustees.osu.edu/bylaws-and-rules/code" TargetMode="External"/><Relationship Id="rId14" Type="http://schemas.openxmlformats.org/officeDocument/2006/relationships/hyperlink" Target="https://community.canvaslms.com/docs/DOC-2061"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38AADE6C-0CD0-4AA0-BA97-F34E415676BE}"/>
</file>

<file path=customXml/itemProps2.xml><?xml version="1.0" encoding="utf-8"?>
<ds:datastoreItem xmlns:ds="http://schemas.openxmlformats.org/officeDocument/2006/customXml" ds:itemID="{E9E54C13-0258-4B82-9A52-BA8BAB2260FD}"/>
</file>

<file path=customXml/itemProps3.xml><?xml version="1.0" encoding="utf-8"?>
<ds:datastoreItem xmlns:ds="http://schemas.openxmlformats.org/officeDocument/2006/customXml" ds:itemID="{EACEF4EC-50A9-48AB-A99A-D140E60C2CB0}"/>
</file>

<file path=docProps/app.xml><?xml version="1.0" encoding="utf-8"?>
<Properties xmlns="http://schemas.openxmlformats.org/officeDocument/2006/extended-properties" xmlns:vt="http://schemas.openxmlformats.org/officeDocument/2006/docPropsVTypes">
  <Template>Normal.dotm</Template>
  <TotalTime>29</TotalTime>
  <Pages>13</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Nandy, Sagnik</cp:lastModifiedBy>
  <cp:revision>3</cp:revision>
  <dcterms:created xsi:type="dcterms:W3CDTF">2025-08-23T21:44:00Z</dcterms:created>
  <dcterms:modified xsi:type="dcterms:W3CDTF">2025-08-26T16:11:00Z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